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rPr>
      </w:pPr>
      <w:r>
        <w:rPr>
          <w:rFonts w:ascii="Times New Roman" w:hAnsi="Times New Roman" w:eastAsia="仿宋" w:cs="Times New Roman"/>
        </w:rPr>
        <w:t>附件</w:t>
      </w:r>
      <w:r>
        <w:rPr>
          <w:rFonts w:hint="eastAsia" w:ascii="Times New Roman" w:hAnsi="Times New Roman" w:eastAsia="仿宋" w:cs="Times New Roman"/>
        </w:rPr>
        <w:t>1：</w:t>
      </w:r>
    </w:p>
    <w:p>
      <w:pPr>
        <w:rPr>
          <w:rFonts w:ascii="Times New Roman" w:hAnsi="Times New Roman" w:eastAsia="仿宋" w:cs="Times New Roman"/>
        </w:rPr>
      </w:pPr>
    </w:p>
    <w:p>
      <w:pPr>
        <w:jc w:val="center"/>
        <w:rPr>
          <w:rFonts w:ascii="华文中宋" w:hAnsi="华文中宋" w:eastAsia="华文中宋"/>
          <w:b/>
          <w:sz w:val="36"/>
          <w:szCs w:val="36"/>
        </w:rPr>
      </w:pPr>
      <w:r>
        <w:rPr>
          <w:rFonts w:ascii="Times New Roman" w:hAnsi="Times New Roman" w:eastAsia="华文中宋" w:cs="Times New Roman"/>
          <w:b/>
          <w:spacing w:val="2"/>
          <w:sz w:val="36"/>
          <w:szCs w:val="36"/>
        </w:rPr>
        <w:t>202</w:t>
      </w:r>
      <w:r>
        <w:rPr>
          <w:rFonts w:hint="eastAsia" w:ascii="Times New Roman" w:hAnsi="Times New Roman" w:eastAsia="华文中宋" w:cs="Times New Roman"/>
          <w:b/>
          <w:spacing w:val="2"/>
          <w:sz w:val="36"/>
          <w:szCs w:val="36"/>
          <w:lang w:val="en-US" w:eastAsia="zh-CN"/>
        </w:rPr>
        <w:t>1</w:t>
      </w:r>
      <w:r>
        <w:rPr>
          <w:rFonts w:ascii="Times New Roman" w:hAnsi="Times New Roman" w:eastAsia="华文中宋" w:cs="Times New Roman"/>
          <w:b/>
          <w:spacing w:val="2"/>
          <w:sz w:val="36"/>
          <w:szCs w:val="36"/>
        </w:rPr>
        <w:t>年绍兴市教育科学规划立项课</w:t>
      </w:r>
      <w:r>
        <w:rPr>
          <w:rFonts w:ascii="Times New Roman" w:hAnsi="Times New Roman" w:eastAsia="华文中宋" w:cs="Times New Roman"/>
          <w:b/>
          <w:sz w:val="36"/>
          <w:szCs w:val="36"/>
        </w:rPr>
        <w:t>题</w:t>
      </w:r>
      <w:r>
        <w:rPr>
          <w:rFonts w:ascii="Times New Roman" w:hAnsi="楷体" w:eastAsia="楷体" w:cs="Times New Roman"/>
          <w:b/>
          <w:sz w:val="28"/>
          <w:szCs w:val="28"/>
        </w:rPr>
        <w:t>（绍</w:t>
      </w:r>
      <w:r>
        <w:rPr>
          <w:rFonts w:hint="eastAsia" w:ascii="Times New Roman" w:hAnsi="楷体" w:eastAsia="楷体" w:cs="Times New Roman"/>
          <w:b/>
          <w:sz w:val="28"/>
          <w:szCs w:val="28"/>
        </w:rPr>
        <w:t>高教SGJ</w:t>
      </w:r>
      <w:r>
        <w:rPr>
          <w:rFonts w:ascii="Times New Roman" w:hAnsi="楷体" w:eastAsia="楷体" w:cs="Times New Roman"/>
          <w:b/>
          <w:sz w:val="28"/>
          <w:szCs w:val="28"/>
        </w:rPr>
        <w:t>，共</w:t>
      </w:r>
      <w:r>
        <w:rPr>
          <w:rFonts w:hint="eastAsia" w:ascii="Times New Roman" w:hAnsi="Times New Roman" w:eastAsia="楷体" w:cs="Times New Roman"/>
          <w:b/>
          <w:sz w:val="28"/>
          <w:szCs w:val="28"/>
          <w:lang w:val="en-US" w:eastAsia="zh-CN"/>
        </w:rPr>
        <w:t>46</w:t>
      </w:r>
      <w:r>
        <w:rPr>
          <w:rFonts w:ascii="Times New Roman" w:hAnsi="楷体" w:eastAsia="楷体" w:cs="Times New Roman"/>
          <w:b/>
          <w:sz w:val="28"/>
          <w:szCs w:val="28"/>
        </w:rPr>
        <w:t>项）</w:t>
      </w:r>
    </w:p>
    <w:p/>
    <w:tbl>
      <w:tblPr>
        <w:tblStyle w:val="2"/>
        <w:tblW w:w="14041" w:type="dxa"/>
        <w:tblInd w:w="98" w:type="dxa"/>
        <w:tblLayout w:type="autofit"/>
        <w:tblCellMar>
          <w:top w:w="0" w:type="dxa"/>
          <w:left w:w="108" w:type="dxa"/>
          <w:bottom w:w="0" w:type="dxa"/>
          <w:right w:w="108" w:type="dxa"/>
        </w:tblCellMar>
      </w:tblPr>
      <w:tblGrid>
        <w:gridCol w:w="1196"/>
        <w:gridCol w:w="8197"/>
        <w:gridCol w:w="2421"/>
        <w:gridCol w:w="940"/>
        <w:gridCol w:w="1287"/>
      </w:tblGrid>
      <w:tr>
        <w:tblPrEx>
          <w:tblCellMar>
            <w:top w:w="0" w:type="dxa"/>
            <w:left w:w="108" w:type="dxa"/>
            <w:bottom w:w="0" w:type="dxa"/>
            <w:right w:w="108" w:type="dxa"/>
          </w:tblCellMar>
        </w:tblPrEx>
        <w:trPr>
          <w:trHeight w:val="402" w:hRule="atLeast"/>
          <w:tblHeader/>
        </w:trPr>
        <w:tc>
          <w:tcPr>
            <w:tcW w:w="1196" w:type="dxa"/>
            <w:tcBorders>
              <w:top w:val="single" w:color="auto" w:sz="12" w:space="0"/>
              <w:left w:val="single" w:color="auto" w:sz="12"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Times New Roman" w:eastAsia="楷体" w:cs="Times New Roman"/>
                <w:b/>
                <w:bCs/>
                <w:color w:val="000000"/>
                <w:kern w:val="0"/>
                <w:szCs w:val="21"/>
              </w:rPr>
              <w:t>序号</w:t>
            </w:r>
          </w:p>
        </w:tc>
        <w:tc>
          <w:tcPr>
            <w:tcW w:w="8197"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题</w:t>
            </w:r>
            <w:r>
              <w:rPr>
                <w:rFonts w:hint="eastAsia" w:ascii="Times New Roman" w:hAnsi="楷体" w:eastAsia="楷体" w:cs="Times New Roman"/>
                <w:b/>
                <w:bCs/>
                <w:color w:val="000000"/>
                <w:kern w:val="0"/>
                <w:szCs w:val="21"/>
              </w:rPr>
              <w:t xml:space="preserve">      </w:t>
            </w:r>
            <w:r>
              <w:rPr>
                <w:rFonts w:ascii="Times New Roman" w:hAnsi="楷体" w:eastAsia="楷体" w:cs="Times New Roman"/>
                <w:b/>
                <w:bCs/>
                <w:color w:val="000000"/>
                <w:kern w:val="0"/>
                <w:szCs w:val="21"/>
              </w:rPr>
              <w:t>目</w:t>
            </w:r>
          </w:p>
        </w:tc>
        <w:tc>
          <w:tcPr>
            <w:tcW w:w="2421"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单</w:t>
            </w:r>
            <w:r>
              <w:rPr>
                <w:rFonts w:hint="eastAsia" w:ascii="Times New Roman" w:hAnsi="楷体" w:eastAsia="楷体" w:cs="Times New Roman"/>
                <w:b/>
                <w:bCs/>
                <w:color w:val="000000"/>
                <w:kern w:val="0"/>
                <w:szCs w:val="21"/>
              </w:rPr>
              <w:t xml:space="preserve">   </w:t>
            </w:r>
            <w:r>
              <w:rPr>
                <w:rFonts w:ascii="Times New Roman" w:hAnsi="楷体" w:eastAsia="楷体" w:cs="Times New Roman"/>
                <w:b/>
                <w:bCs/>
                <w:color w:val="000000"/>
                <w:kern w:val="0"/>
                <w:szCs w:val="21"/>
              </w:rPr>
              <w:t>位（全称）</w:t>
            </w:r>
          </w:p>
        </w:tc>
        <w:tc>
          <w:tcPr>
            <w:tcW w:w="940"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负责人</w:t>
            </w:r>
          </w:p>
        </w:tc>
        <w:tc>
          <w:tcPr>
            <w:tcW w:w="1287" w:type="dxa"/>
            <w:tcBorders>
              <w:top w:val="single" w:color="auto" w:sz="12" w:space="0"/>
              <w:left w:val="single" w:color="auto" w:sz="4"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Times New Roman" w:hAnsi="楷体" w:eastAsia="楷体" w:cs="Times New Roman"/>
                <w:b/>
                <w:bCs/>
                <w:color w:val="000000"/>
                <w:kern w:val="0"/>
                <w:szCs w:val="21"/>
                <w:lang w:val="en-US" w:eastAsia="zh-CN"/>
              </w:rPr>
            </w:pPr>
            <w:r>
              <w:rPr>
                <w:rFonts w:hint="eastAsia" w:ascii="Times New Roman" w:hAnsi="楷体" w:eastAsia="楷体" w:cs="Times New Roman"/>
                <w:b/>
                <w:bCs/>
                <w:color w:val="000000"/>
                <w:kern w:val="0"/>
                <w:szCs w:val="21"/>
                <w:lang w:val="en-US" w:eastAsia="zh-CN"/>
              </w:rPr>
              <w:t>备注</w:t>
            </w:r>
          </w:p>
        </w:tc>
      </w:tr>
      <w:tr>
        <w:tblPrEx>
          <w:tblCellMar>
            <w:top w:w="0" w:type="dxa"/>
            <w:left w:w="108" w:type="dxa"/>
            <w:bottom w:w="0" w:type="dxa"/>
            <w:right w:w="108" w:type="dxa"/>
          </w:tblCellMar>
        </w:tblPrEx>
        <w:trPr>
          <w:trHeight w:val="350" w:hRule="atLeast"/>
        </w:trPr>
        <w:tc>
          <w:tcPr>
            <w:tcW w:w="1196"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adjustRightInd w:val="0"/>
              <w:snapToGrid w:val="0"/>
              <w:rPr>
                <w:rFonts w:ascii="Times New Roman" w:hAnsi="楷体" w:eastAsia="楷体" w:cs="Times New Roman"/>
                <w:color w:val="000000"/>
                <w:kern w:val="0"/>
                <w:szCs w:val="21"/>
              </w:rPr>
            </w:pPr>
            <w:r>
              <w:rPr>
                <w:rFonts w:hint="eastAsia" w:ascii="Times New Roman" w:hAnsi="楷体" w:eastAsia="楷体" w:cs="Times New Roman"/>
                <w:color w:val="000000"/>
                <w:kern w:val="0"/>
                <w:szCs w:val="21"/>
                <w:lang w:val="en-US" w:eastAsia="zh-CN"/>
              </w:rPr>
              <w:t>SGJ2101</w:t>
            </w:r>
          </w:p>
        </w:tc>
        <w:tc>
          <w:tcPr>
            <w:tcW w:w="8197"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楷体" w:eastAsia="楷体" w:cs="Times New Roman"/>
                <w:color w:val="000000"/>
                <w:kern w:val="0"/>
                <w:szCs w:val="21"/>
              </w:rPr>
            </w:pPr>
            <w:r>
              <w:rPr>
                <w:rFonts w:hint="eastAsia" w:ascii="Times New Roman" w:hAnsi="楷体" w:eastAsia="楷体" w:cs="Times New Roman"/>
                <w:color w:val="000000"/>
                <w:kern w:val="0"/>
                <w:szCs w:val="21"/>
                <w:lang w:val="en-US" w:eastAsia="zh-CN"/>
              </w:rPr>
              <w:t>“工作坊”模式在高职《外科护理》教学中的应用研究</w:t>
            </w:r>
          </w:p>
        </w:tc>
        <w:tc>
          <w:tcPr>
            <w:tcW w:w="242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楷体" w:eastAsia="楷体" w:cs="Times New Roman"/>
                <w:color w:val="000000"/>
                <w:kern w:val="0"/>
                <w:szCs w:val="21"/>
              </w:rPr>
            </w:pPr>
            <w:r>
              <w:rPr>
                <w:rFonts w:hint="eastAsia" w:ascii="Times New Roman" w:hAnsi="楷体" w:eastAsia="楷体" w:cs="Times New Roman"/>
                <w:color w:val="000000"/>
                <w:kern w:val="0"/>
                <w:szCs w:val="21"/>
                <w:lang w:val="en-US" w:eastAsia="zh-CN"/>
              </w:rPr>
              <w:t>绍兴职业技术学院</w:t>
            </w:r>
          </w:p>
        </w:tc>
        <w:tc>
          <w:tcPr>
            <w:tcW w:w="940"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楷体" w:eastAsia="楷体" w:cs="Times New Roman"/>
                <w:color w:val="000000"/>
                <w:kern w:val="0"/>
                <w:szCs w:val="21"/>
              </w:rPr>
            </w:pPr>
            <w:r>
              <w:rPr>
                <w:rFonts w:hint="eastAsia" w:ascii="Times New Roman" w:hAnsi="楷体" w:eastAsia="楷体" w:cs="Times New Roman"/>
                <w:color w:val="000000"/>
                <w:kern w:val="0"/>
                <w:szCs w:val="21"/>
                <w:lang w:val="en-US" w:eastAsia="zh-CN"/>
              </w:rPr>
              <w:t>范亚男</w:t>
            </w:r>
          </w:p>
        </w:tc>
        <w:tc>
          <w:tcPr>
            <w:tcW w:w="1287"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1196"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SGJ2102</w:t>
            </w:r>
          </w:p>
        </w:tc>
        <w:tc>
          <w:tcPr>
            <w:tcW w:w="81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基于装配式BIM+VR三维一体化的室内艺术设计专业课程三教融合创新应用研究</w:t>
            </w: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绍兴职业技术学院</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章 运</w:t>
            </w:r>
          </w:p>
        </w:tc>
        <w:tc>
          <w:tcPr>
            <w:tcW w:w="1287"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SGJ2103</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民办高职院校校院两级管理体制改革与研究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王才伟</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SGJ2104</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探索叙事教育对内科护理医学人文的培养机制研究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何惊惊</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SGJ2105</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1+X证书制度下文创专业数字创意建模课证融通的教学研究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马 丹</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SGJ2106</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以全国护士执业资格考试（CLEN）为导向的高职《用药护理》课程教学实践与研究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周 斌</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SGJ2107</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“1+X”证书制度下工业机器人课程教学体系的构建</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陈伟</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SGJ2108</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“课程思政”视域下浙江“三个地”优势融入高校思政教育路径研究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王青花</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SGJ2109</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现代学徒制视阈下“工匠精神”融入高职院校课程思政改革的探索与实践</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王钢</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SGJ2110</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抗疫精神融入高校思政课教学的综合育人体系研究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闫振伟</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SGJ2111</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现代学徒制视角下高职院校课程思政协同创新研究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闫杰</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SGJ2112</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长三角一体化背景下高职教育高质量协同创新发展研究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浙江工业职业技术学院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冯旭芳</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SGJ2113</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高等教育质量有效治理研究：基于大学章程与制度能力的维度</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龙春阳</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SGJ2114</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 xml:space="preserve">以服务地方特色产业为导向的艺术设计专业 </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王丽</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SGJ2115</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新商科产教协同育人机制的创新与实践</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马晓芸</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SGJ2116</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数字经济下经管类专业统计学课程改革路径及实现</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李小亮</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SGJ2117</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 xml:space="preserve">工作室制教学模式下的广告学专业“四创”人才培养路径研究 </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汪永奇</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SGJ2118</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产教融合模式下“1+X”客户服务职业认证制度的应用研究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浙江邮电职业技术学院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沈朴远</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SGJ2119</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基于区块链分布式存储技术的农产品快递供应链溯源方案研究与实现</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浙江邮电职业技术学院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杨昆</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SGJ2120</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“三全育人”视角下大学生志愿服务工作的实践性德育实效探究---以浙江邮电职业技术学院为例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浙江邮电职业技术学院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崔兴旺</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SGJ2121</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职业院校劳动教育的路径分析及其伦理意蕴探究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浙江邮电职业技术学院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张慧</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SGJ2122</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水墨意境在数字媒体艺术教学中的应用研究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浙江邮电职业技术学院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柯用叨</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SGJ2123</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越地民国大学校长与高等教育本土化研究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绍兴文理学院元培学院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俞婷婷</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SGJ2124</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三生融合，创新赋能——基于OBE理念的地方高校园林人才培养模式的探索与实践</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绍兴文理学院元培学院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许骅</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SGJ2125</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全面健身战略视角下绍兴市体育公园发展对策研究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绍兴文理学院元培学院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成耀</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SGJ2126</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基于混合式教学的多平台联动课程思政教学模式改革——以《跨文化交际》为例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浙江越秀外国语学院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谌莉</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SGJ2127</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 xml:space="preserve">多模态视角下大学西班牙语教学中提升学生跨文化能力的研究——以《西班牙语经贸口译课程》为例 </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浙江越秀外国语学院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彭璐娇</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SGJ2128</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面向跨境电商行业的大数据实践课程体系建设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浙江越秀外国语学院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张斌</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SGJ2129</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城市创新、创新创业教育与大学生创业行为—以绍兴市高校为例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浙江越秀外国语学院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孙诗丝</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SGJ2130</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绍兴戏曲融入外国语院校生命教育教学探索</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浙江越秀外国语学院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焦颖莹</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SGJ2131</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基于供给侧改革视域的高校志愿服务育人实效研究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杨李慧</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SGJ2132</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“一带一路”背景下来华留学生管理面临问题及对策探究——以绍兴文理学院土木工程学院为例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李才红</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SGJ2133</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“医教协同”背景下综合性大学医学生职业生涯规划教育体系研究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马国庆</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SGJ2134</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习近平爱国主义重要思想进初中《道德与法治》课堂研究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马义米</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SGJ2135</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建筑学类强化教学过程模式及翻转课堂的研究与实践-以《房屋建筑学》为例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吕  越</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SGJ2136</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“课程思政”视域下土木类实验室安全教育课程建设</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张  贺</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SGJ2137</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 xml:space="preserve">产教融合与人工智能环境下双培会计人才培养模式研究         </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浙江农业商贸职业学院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刘花</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SGJ2138</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基于OBE教育理念的高职《旅游学概论》应用型课程建设研究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浙江农业商贸职业学院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高婷</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SGJ2139</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“新工科”背景下汽车专业学生“课程思政”教育研究——以“精益生产”课程为例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浙江农业商贸职业学院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孙文明</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SGJ2140</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绍兴地域文化在环艺教学中的传承与创新策略研究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浙江农业商贸职业学院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张全</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SGJ2141</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基于“互联网+”背景下高职《财务会计》课程工匠精神的培养路径探析</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浙江农业商贸职业学院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邵佳佳</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SGJ2142</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大学英语推进课程思政的原则与路径研究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浙江农林大学暨阳学院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赵文嘉</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SGJ2143</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全媒体视野下高校思想政治教育融合性问题研究——以绍兴高校为例</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绍兴文理学院元培学院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金超</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SGJ2144</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独立学院“第二课堂”融合思政教育的路径探究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绍兴文理学院元培学院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贺司淇</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SGJ2145</w:t>
            </w:r>
          </w:p>
        </w:tc>
        <w:tc>
          <w:tcPr>
            <w:tcW w:w="819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课程思政与专业教学协同育人路径研究</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曹笑笑</w:t>
            </w:r>
          </w:p>
        </w:tc>
        <w:tc>
          <w:tcPr>
            <w:tcW w:w="1287"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50" w:hRule="atLeast"/>
        </w:trPr>
        <w:tc>
          <w:tcPr>
            <w:tcW w:w="0" w:type="auto"/>
            <w:tcBorders>
              <w:top w:val="single" w:color="auto" w:sz="4" w:space="0"/>
              <w:left w:val="single" w:color="auto" w:sz="12" w:space="0"/>
              <w:bottom w:val="single" w:color="auto" w:sz="12"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SGJ2146</w:t>
            </w:r>
          </w:p>
        </w:tc>
        <w:tc>
          <w:tcPr>
            <w:tcW w:w="8197"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地域历史文化与高校课程思政建设的耦合研究——以绍兴文理学院为例</w:t>
            </w:r>
          </w:p>
        </w:tc>
        <w:tc>
          <w:tcPr>
            <w:tcW w:w="2421"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绍兴文理学院</w:t>
            </w:r>
          </w:p>
        </w:tc>
        <w:tc>
          <w:tcPr>
            <w:tcW w:w="0" w:type="auto"/>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黄文静</w:t>
            </w:r>
          </w:p>
        </w:tc>
        <w:tc>
          <w:tcPr>
            <w:tcW w:w="1287" w:type="dxa"/>
            <w:tcBorders>
              <w:top w:val="single" w:color="auto" w:sz="4" w:space="0"/>
              <w:left w:val="single" w:color="auto" w:sz="4" w:space="0"/>
              <w:bottom w:val="single" w:color="auto" w:sz="12" w:space="0"/>
              <w:right w:val="single" w:color="auto" w:sz="12" w:space="0"/>
            </w:tcBorders>
            <w:vAlign w:val="center"/>
          </w:tcPr>
          <w:p>
            <w:pPr>
              <w:widowControl/>
              <w:adjustRightInd w:val="0"/>
              <w:snapToGrid w:val="0"/>
              <w:rPr>
                <w:rFonts w:hint="eastAsia" w:ascii="Times New Roman" w:hAnsi="楷体" w:eastAsia="楷体" w:cs="Times New Roman"/>
                <w:color w:val="000000"/>
                <w:kern w:val="0"/>
                <w:szCs w:val="21"/>
                <w:lang w:val="en-US" w:eastAsia="zh-CN"/>
              </w:rPr>
            </w:pPr>
            <w:r>
              <w:rPr>
                <w:rFonts w:hint="eastAsia" w:ascii="Times New Roman" w:hAnsi="楷体" w:eastAsia="楷体" w:cs="Times New Roman"/>
                <w:color w:val="000000"/>
                <w:kern w:val="0"/>
                <w:szCs w:val="21"/>
                <w:lang w:val="en-US" w:eastAsia="zh-CN"/>
              </w:rPr>
              <w:t>课程思政</w:t>
            </w:r>
          </w:p>
        </w:tc>
      </w:tr>
    </w:tbl>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Times New Roman" w:hAnsi="Times New Roman" w:eastAsia="仿宋" w:cs="Times New Roman"/>
        </w:rPr>
      </w:pPr>
      <w:r>
        <w:rPr>
          <w:rFonts w:ascii="Times New Roman" w:hAnsi="Times New Roman" w:eastAsia="仿宋" w:cs="Times New Roman"/>
        </w:rPr>
        <w:t>附件2</w:t>
      </w:r>
      <w:r>
        <w:rPr>
          <w:rFonts w:hint="eastAsia" w:ascii="Times New Roman" w:hAnsi="Times New Roman" w:eastAsia="仿宋" w:cs="Times New Roman"/>
        </w:rPr>
        <w:t>：</w:t>
      </w:r>
    </w:p>
    <w:p>
      <w:pPr>
        <w:rPr>
          <w:rFonts w:ascii="Times New Roman" w:hAnsi="Times New Roman" w:eastAsia="仿宋" w:cs="Times New Roman"/>
        </w:rPr>
      </w:pPr>
    </w:p>
    <w:p>
      <w:pPr>
        <w:jc w:val="center"/>
        <w:rPr>
          <w:rFonts w:ascii="华文中宋" w:hAnsi="华文中宋" w:eastAsia="华文中宋"/>
          <w:b/>
          <w:sz w:val="36"/>
          <w:szCs w:val="36"/>
        </w:rPr>
      </w:pPr>
      <w:r>
        <w:rPr>
          <w:rFonts w:ascii="Times New Roman" w:hAnsi="Times New Roman" w:eastAsia="华文中宋" w:cs="Times New Roman"/>
          <w:b/>
          <w:spacing w:val="2"/>
          <w:sz w:val="36"/>
          <w:szCs w:val="36"/>
        </w:rPr>
        <w:t>202</w:t>
      </w:r>
      <w:r>
        <w:rPr>
          <w:rFonts w:hint="eastAsia" w:ascii="Times New Roman" w:hAnsi="Times New Roman" w:eastAsia="华文中宋" w:cs="Times New Roman"/>
          <w:b/>
          <w:spacing w:val="2"/>
          <w:sz w:val="36"/>
          <w:szCs w:val="36"/>
          <w:lang w:val="en-US" w:eastAsia="zh-CN"/>
        </w:rPr>
        <w:t>1</w:t>
      </w:r>
      <w:r>
        <w:rPr>
          <w:rFonts w:ascii="Times New Roman" w:hAnsi="Times New Roman" w:eastAsia="华文中宋" w:cs="Times New Roman"/>
          <w:b/>
          <w:spacing w:val="2"/>
          <w:sz w:val="36"/>
          <w:szCs w:val="36"/>
        </w:rPr>
        <w:t>年绍兴市教育科学规划立项课</w:t>
      </w:r>
      <w:r>
        <w:rPr>
          <w:rFonts w:ascii="Times New Roman" w:hAnsi="Times New Roman" w:eastAsia="华文中宋" w:cs="Times New Roman"/>
          <w:b/>
          <w:sz w:val="36"/>
          <w:szCs w:val="36"/>
        </w:rPr>
        <w:t>题</w:t>
      </w:r>
      <w:r>
        <w:rPr>
          <w:rFonts w:ascii="Times New Roman" w:hAnsi="楷体" w:eastAsia="楷体" w:cs="Times New Roman"/>
          <w:b/>
          <w:sz w:val="28"/>
          <w:szCs w:val="28"/>
        </w:rPr>
        <w:t>（绍基综</w:t>
      </w:r>
      <w:r>
        <w:rPr>
          <w:rFonts w:ascii="Times New Roman" w:hAnsi="Times New Roman" w:eastAsia="楷体" w:cs="Times New Roman"/>
          <w:b/>
          <w:sz w:val="28"/>
          <w:szCs w:val="28"/>
        </w:rPr>
        <w:t>SJZ</w:t>
      </w:r>
      <w:r>
        <w:rPr>
          <w:rFonts w:ascii="Times New Roman" w:hAnsi="楷体" w:eastAsia="楷体" w:cs="Times New Roman"/>
          <w:b/>
          <w:sz w:val="28"/>
          <w:szCs w:val="28"/>
        </w:rPr>
        <w:t>，共</w:t>
      </w:r>
      <w:r>
        <w:rPr>
          <w:rFonts w:ascii="Times New Roman" w:hAnsi="Times New Roman" w:eastAsia="楷体" w:cs="Times New Roman"/>
          <w:b/>
          <w:sz w:val="28"/>
          <w:szCs w:val="28"/>
        </w:rPr>
        <w:t>2</w:t>
      </w:r>
      <w:r>
        <w:rPr>
          <w:rFonts w:hint="eastAsia" w:ascii="Times New Roman" w:hAnsi="Times New Roman" w:eastAsia="楷体" w:cs="Times New Roman"/>
          <w:b/>
          <w:sz w:val="28"/>
          <w:szCs w:val="28"/>
          <w:lang w:val="en-US" w:eastAsia="zh-CN"/>
        </w:rPr>
        <w:t>26</w:t>
      </w:r>
      <w:r>
        <w:rPr>
          <w:rFonts w:ascii="Times New Roman" w:hAnsi="楷体" w:eastAsia="楷体" w:cs="Times New Roman"/>
          <w:b/>
          <w:sz w:val="28"/>
          <w:szCs w:val="28"/>
        </w:rPr>
        <w:t>项）</w:t>
      </w:r>
    </w:p>
    <w:p/>
    <w:tbl>
      <w:tblPr>
        <w:tblStyle w:val="2"/>
        <w:tblW w:w="14131" w:type="dxa"/>
        <w:tblInd w:w="98" w:type="dxa"/>
        <w:tblLayout w:type="autofit"/>
        <w:tblCellMar>
          <w:top w:w="0" w:type="dxa"/>
          <w:left w:w="108" w:type="dxa"/>
          <w:bottom w:w="0" w:type="dxa"/>
          <w:right w:w="108" w:type="dxa"/>
        </w:tblCellMar>
      </w:tblPr>
      <w:tblGrid>
        <w:gridCol w:w="1160"/>
        <w:gridCol w:w="7571"/>
        <w:gridCol w:w="3090"/>
        <w:gridCol w:w="900"/>
        <w:gridCol w:w="1410"/>
      </w:tblGrid>
      <w:tr>
        <w:tblPrEx>
          <w:tblCellMar>
            <w:top w:w="0" w:type="dxa"/>
            <w:left w:w="108" w:type="dxa"/>
            <w:bottom w:w="0" w:type="dxa"/>
            <w:right w:w="108" w:type="dxa"/>
          </w:tblCellMar>
        </w:tblPrEx>
        <w:trPr>
          <w:trHeight w:val="402" w:hRule="atLeast"/>
          <w:tblHeader/>
        </w:trPr>
        <w:tc>
          <w:tcPr>
            <w:tcW w:w="1160" w:type="dxa"/>
            <w:tcBorders>
              <w:top w:val="single" w:color="auto" w:sz="12" w:space="0"/>
              <w:left w:val="single" w:color="auto" w:sz="12"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序</w:t>
            </w:r>
            <w:r>
              <w:rPr>
                <w:rFonts w:hint="eastAsia" w:ascii="Times New Roman" w:hAnsi="楷体" w:eastAsia="楷体" w:cs="Times New Roman"/>
                <w:b/>
                <w:bCs/>
                <w:color w:val="000000"/>
                <w:kern w:val="0"/>
                <w:szCs w:val="21"/>
              </w:rPr>
              <w:t xml:space="preserve"> </w:t>
            </w:r>
            <w:r>
              <w:rPr>
                <w:rFonts w:ascii="Times New Roman" w:hAnsi="楷体" w:eastAsia="楷体" w:cs="Times New Roman"/>
                <w:b/>
                <w:bCs/>
                <w:color w:val="000000"/>
                <w:kern w:val="0"/>
                <w:szCs w:val="21"/>
              </w:rPr>
              <w:t>号</w:t>
            </w:r>
          </w:p>
        </w:tc>
        <w:tc>
          <w:tcPr>
            <w:tcW w:w="7571"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题</w:t>
            </w:r>
            <w:r>
              <w:rPr>
                <w:rFonts w:hint="eastAsia" w:ascii="Times New Roman" w:hAnsi="楷体" w:eastAsia="楷体" w:cs="Times New Roman"/>
                <w:b/>
                <w:bCs/>
                <w:color w:val="000000"/>
                <w:kern w:val="0"/>
                <w:szCs w:val="21"/>
              </w:rPr>
              <w:t xml:space="preserve">         </w:t>
            </w:r>
            <w:r>
              <w:rPr>
                <w:rFonts w:ascii="Times New Roman" w:hAnsi="楷体" w:eastAsia="楷体" w:cs="Times New Roman"/>
                <w:b/>
                <w:bCs/>
                <w:color w:val="000000"/>
                <w:kern w:val="0"/>
                <w:szCs w:val="21"/>
              </w:rPr>
              <w:t>目</w:t>
            </w:r>
          </w:p>
        </w:tc>
        <w:tc>
          <w:tcPr>
            <w:tcW w:w="3090"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单</w:t>
            </w:r>
            <w:r>
              <w:rPr>
                <w:rFonts w:hint="eastAsia" w:ascii="Times New Roman" w:hAnsi="楷体" w:eastAsia="楷体" w:cs="Times New Roman"/>
                <w:b/>
                <w:bCs/>
                <w:color w:val="000000"/>
                <w:kern w:val="0"/>
                <w:szCs w:val="21"/>
              </w:rPr>
              <w:t xml:space="preserve">   </w:t>
            </w:r>
            <w:r>
              <w:rPr>
                <w:rFonts w:ascii="Times New Roman" w:hAnsi="楷体" w:eastAsia="楷体" w:cs="Times New Roman"/>
                <w:b/>
                <w:bCs/>
                <w:color w:val="000000"/>
                <w:kern w:val="0"/>
                <w:szCs w:val="21"/>
              </w:rPr>
              <w:t>位（全称）</w:t>
            </w:r>
          </w:p>
        </w:tc>
        <w:tc>
          <w:tcPr>
            <w:tcW w:w="900" w:type="dxa"/>
            <w:tcBorders>
              <w:top w:val="single" w:color="auto" w:sz="12" w:space="0"/>
              <w:left w:val="single" w:color="auto" w:sz="4" w:space="0"/>
              <w:bottom w:val="single" w:color="auto" w:sz="12" w:space="0"/>
              <w:right w:val="single" w:color="auto" w:sz="4" w:space="0"/>
            </w:tcBorders>
            <w:shd w:val="clear" w:color="auto" w:fill="C8C8C8" w:themeFill="accent3" w:themeFillTint="99"/>
            <w:vAlign w:val="center"/>
          </w:tcPr>
          <w:p>
            <w:pPr>
              <w:widowControl/>
              <w:adjustRightInd w:val="0"/>
              <w:snapToGrid w:val="0"/>
              <w:jc w:val="center"/>
              <w:rPr>
                <w:rFonts w:ascii="Times New Roman" w:hAnsi="Times New Roman" w:eastAsia="楷体" w:cs="Times New Roman"/>
                <w:b/>
                <w:bCs/>
                <w:color w:val="000000"/>
                <w:kern w:val="0"/>
                <w:szCs w:val="21"/>
              </w:rPr>
            </w:pPr>
            <w:r>
              <w:rPr>
                <w:rFonts w:ascii="Times New Roman" w:hAnsi="楷体" w:eastAsia="楷体" w:cs="Times New Roman"/>
                <w:b/>
                <w:bCs/>
                <w:color w:val="000000"/>
                <w:kern w:val="0"/>
                <w:szCs w:val="21"/>
              </w:rPr>
              <w:t>负责人</w:t>
            </w:r>
          </w:p>
        </w:tc>
        <w:tc>
          <w:tcPr>
            <w:tcW w:w="1410" w:type="dxa"/>
            <w:tcBorders>
              <w:top w:val="single" w:color="auto" w:sz="12" w:space="0"/>
              <w:left w:val="single" w:color="auto" w:sz="4"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ascii="Times New Roman" w:hAnsi="楷体" w:eastAsia="楷体" w:cs="Times New Roman"/>
                <w:b/>
                <w:bCs/>
                <w:color w:val="000000"/>
                <w:kern w:val="0"/>
                <w:szCs w:val="21"/>
              </w:rPr>
            </w:pPr>
            <w:r>
              <w:rPr>
                <w:rFonts w:hint="eastAsia" w:ascii="Times New Roman" w:hAnsi="楷体" w:eastAsia="楷体" w:cs="Times New Roman"/>
                <w:b/>
                <w:bCs/>
                <w:color w:val="000000"/>
                <w:kern w:val="0"/>
                <w:szCs w:val="21"/>
                <w:lang w:val="en-US" w:eastAsia="zh-CN"/>
              </w:rPr>
              <w:t>备注</w:t>
            </w:r>
          </w:p>
        </w:tc>
      </w:tr>
      <w:tr>
        <w:tblPrEx>
          <w:tblCellMar>
            <w:top w:w="0" w:type="dxa"/>
            <w:left w:w="108" w:type="dxa"/>
            <w:bottom w:w="0" w:type="dxa"/>
            <w:right w:w="108" w:type="dxa"/>
          </w:tblCellMar>
        </w:tblPrEx>
        <w:trPr>
          <w:trHeight w:val="337" w:hRule="atLeast"/>
        </w:trPr>
        <w:tc>
          <w:tcPr>
            <w:tcW w:w="1160" w:type="dxa"/>
            <w:tcBorders>
              <w:top w:val="single" w:color="auto" w:sz="12" w:space="0"/>
              <w:left w:val="single" w:color="auto" w:sz="12"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楷体" w:cs="Times New Roman"/>
                <w:color w:val="000000"/>
                <w:kern w:val="0"/>
                <w:szCs w:val="21"/>
              </w:rPr>
            </w:pPr>
            <w:r>
              <w:rPr>
                <w:rFonts w:hint="eastAsia" w:ascii="Times New Roman" w:hAnsi="Times New Roman" w:eastAsia="楷体" w:cs="Times New Roman"/>
                <w:color w:val="000000"/>
                <w:kern w:val="0"/>
                <w:szCs w:val="21"/>
                <w:lang w:val="en-US" w:eastAsia="zh-CN"/>
              </w:rPr>
              <w:t>SJZ21001</w:t>
            </w:r>
          </w:p>
        </w:tc>
        <w:tc>
          <w:tcPr>
            <w:tcW w:w="7571"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楷体" w:cs="Times New Roman"/>
                <w:color w:val="000000"/>
                <w:kern w:val="0"/>
                <w:szCs w:val="21"/>
              </w:rPr>
            </w:pPr>
            <w:r>
              <w:rPr>
                <w:rFonts w:hint="eastAsia" w:ascii="Times New Roman" w:hAnsi="Times New Roman" w:eastAsia="楷体" w:cs="Times New Roman"/>
                <w:color w:val="000000"/>
                <w:kern w:val="0"/>
                <w:szCs w:val="21"/>
                <w:lang w:val="en-US" w:eastAsia="zh-CN"/>
              </w:rPr>
              <w:t>授人以荃：普通高中学生生涯发展校本平台的构建与实施</w:t>
            </w:r>
          </w:p>
        </w:tc>
        <w:tc>
          <w:tcPr>
            <w:tcW w:w="3090"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楷体" w:cs="Times New Roman"/>
                <w:color w:val="000000"/>
                <w:kern w:val="0"/>
                <w:szCs w:val="21"/>
              </w:rPr>
            </w:pPr>
            <w:r>
              <w:rPr>
                <w:rFonts w:hint="eastAsia" w:ascii="Times New Roman" w:hAnsi="Times New Roman" w:eastAsia="楷体" w:cs="Times New Roman"/>
                <w:color w:val="000000"/>
                <w:kern w:val="0"/>
                <w:szCs w:val="21"/>
                <w:lang w:val="en-US" w:eastAsia="zh-CN"/>
              </w:rPr>
              <w:t>绍兴市第一中学</w:t>
            </w:r>
          </w:p>
        </w:tc>
        <w:tc>
          <w:tcPr>
            <w:tcW w:w="900"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Times New Roman" w:hAnsi="Times New Roman" w:eastAsia="楷体" w:cs="Times New Roman"/>
                <w:color w:val="000000"/>
                <w:kern w:val="0"/>
                <w:szCs w:val="21"/>
              </w:rPr>
            </w:pPr>
            <w:r>
              <w:rPr>
                <w:rFonts w:hint="eastAsia" w:ascii="Times New Roman" w:hAnsi="Times New Roman" w:eastAsia="楷体" w:cs="Times New Roman"/>
                <w:color w:val="000000"/>
                <w:kern w:val="0"/>
                <w:szCs w:val="21"/>
                <w:lang w:val="en-US" w:eastAsia="zh-CN"/>
              </w:rPr>
              <w:t>孙洪亮</w:t>
            </w:r>
          </w:p>
        </w:tc>
        <w:tc>
          <w:tcPr>
            <w:tcW w:w="1410" w:type="dxa"/>
            <w:tcBorders>
              <w:top w:val="single" w:color="auto" w:sz="12" w:space="0"/>
              <w:left w:val="single" w:color="auto" w:sz="4" w:space="0"/>
              <w:bottom w:val="single" w:color="auto" w:sz="4" w:space="0"/>
              <w:right w:val="single" w:color="auto" w:sz="12" w:space="0"/>
            </w:tcBorders>
            <w:shd w:val="clear" w:color="auto" w:fill="auto"/>
            <w:vAlign w:val="center"/>
          </w:tcPr>
          <w:p>
            <w:pPr>
              <w:widowControl/>
              <w:adjustRightInd w:val="0"/>
              <w:snapToGrid w:val="0"/>
              <w:rPr>
                <w:rFonts w:ascii="Times New Roman" w:hAnsi="Times New Roman" w:eastAsia="楷体" w:cs="Times New Roman"/>
                <w:color w:val="000000"/>
                <w:kern w:val="0"/>
                <w:szCs w:val="21"/>
              </w:rPr>
            </w:pPr>
          </w:p>
        </w:tc>
      </w:tr>
      <w:tr>
        <w:tblPrEx>
          <w:tblCellMar>
            <w:top w:w="0" w:type="dxa"/>
            <w:left w:w="108" w:type="dxa"/>
            <w:bottom w:w="0" w:type="dxa"/>
            <w:right w:w="108" w:type="dxa"/>
          </w:tblCellMar>
        </w:tblPrEx>
        <w:trPr>
          <w:trHeight w:val="337" w:hRule="atLeast"/>
        </w:trPr>
        <w:tc>
          <w:tcPr>
            <w:tcW w:w="116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SJZ21002</w:t>
            </w:r>
          </w:p>
        </w:tc>
        <w:tc>
          <w:tcPr>
            <w:tcW w:w="7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小学、初中、高中一体开展信息学奥赛培训的探索</w:t>
            </w:r>
          </w:p>
        </w:tc>
        <w:tc>
          <w:tcPr>
            <w:tcW w:w="30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董烨华</w:t>
            </w:r>
          </w:p>
        </w:tc>
        <w:tc>
          <w:tcPr>
            <w:tcW w:w="1410"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高中体育健康教育模块的有效实施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绍兴市第一中学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吴丽娟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高中综合实践活动中“家国情怀”素养涵育路径的探索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绍兴市稽山中学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陈碧霄</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基于单元主题的语法教学的探究与实践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绍兴市高级中学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赵炎菲</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“医教结合”模式在普通高中心理健康教育中的构建与应用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绍兴市越州中学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沈蕾</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基于聋人文化的国家通用手语多渠道自培实践研究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绍兴市聋哑学校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赵荻燕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叙事疗法：聋校故事阅读教学中的实践与探索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绍兴市聋哑学校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冯轶君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SJZ21009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 ”一站式“的“五位一体”家校联动共育实践研究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绍兴市中等专业学校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王永昌</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染整技术专业中高职一体化人才培养模式探索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绍兴市中等专业学校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郁魏魏</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“互联网+”下建筑+信息技术跨界融合性课程的开发与研究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绍兴市中等专业学校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杨张琴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基于“产教融合”的工科类专业高工段毕业设计的实践探索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绍兴市职业教育中心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周云水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基于大数据产教融合下计算机专业人才培养的探究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绍兴市职业教育中心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沈彩文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“心理育人”视角下内地新疆中职班心理健康教育育人模式探索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绍兴市职业教育中心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赵丹丹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基于统编教材的“图式汉字书写”课程研究与实践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越城区北海小学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孟琴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贤文化引领下的小学劳动教育的实践研究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越城区群贤小学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吴慧明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聚焦课堂提升小学生“思辨与表达”素养的研究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绍兴市实验小学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方明江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基于知行合一的科创农耕育人课程构架与实践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越城区树人小学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蒋华卫</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SJZ21019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利用生活化材料开展03早教亲子游戏的实践研究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越城区教师发展中心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陈国蓉</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区域推进中小学创客教育的实践研究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越城区教师发展中心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陶剑波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核心视野下初中社会教师关键能力培养实践研究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越城区教师发展中心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谢盈盈</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儿童立场关照下幼儿园“真游戏”的叙事研究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越城区鲁迅幼托教育集团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张思媛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构建“玩乐”园本课程的实践研究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越城区马山街道中心幼儿园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金海芳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“乐韵”园本课程建设的实践研究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越城区东风幼儿教育集团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钟继飞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“新冠”背景下农村宅童成因及纠正对策实践研究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越城区皋埠中学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王湘炜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基于班内分层下的精准教学模式的实践与研究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越城区马山中学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叶国华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基于“教育命运共同体”下的家校合作新模式探索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绍兴市文澜中学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周玉蓉</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基于思政引领的红润痛心实践研究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绍兴市北海小学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许伟刚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SJZ21029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基于吼山石文化提升学校办学品质的实践研究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越城区皋埠街道中心小学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莫岚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“疏”文化下学生核心素养绿色评价的探索与实践研究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越城区稽山小学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朱建丽</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书院文化传衍下思辨课堂建构的实践与研究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越城区蕺山中心小学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汪国祥</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融入“劳动教育”主题的“新城研学”课程的实践和研究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越城区灵芝街道中心小学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赵建英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基于文明素养的小学生养成教育的探究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越城区陶堰镇中心小学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郑平平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“越医文化研学基地”实践与探究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越城区秀水小学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徐光根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构建幼儿园集团化办学管理系统的实践研究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越城区鲁迅幼教集团佳源园区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谢桂兰</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幼儿园食谱制定及实施管理的研究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越城区树人幼儿园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程驿塍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“尚美”课程背景下，幼儿园美育特色课程的实施与研究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越城区元培幼儿园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王玉莹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“小鲁迅”生活课程的开发与实践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越城区孙端街道中心幼儿园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郑国娟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SJZ21039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初中学校开展职业预备教育的实践研究—以绍兴市镜湖中学为例</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绍兴市第一初级中学镜湖校区 </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朱景华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劳动.创造.幸福特色校本课程群的构建与实践研究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绍兴市文澜中学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高珺</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“清润礼仪”园本课程建设的实践研究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柯桥区浙光幼儿园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孙亚文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中班室内角色游戏中教师指导语优化的行动研究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孙海英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《纺织面料跟单实务》课程开发与实施的研究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柯桥区职业教育中心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魏飞飞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幼儿园“自然”课程架构与实施的行动研究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柯桥区六一幼儿园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单彩云</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“十里湖塘”幼儿生活化课程建设的研究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柯桥区湖塘中心幼儿园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孙芳萍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基于“美丽乡村”的小学劳动教育的实践研究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柯桥区漓渚镇中心小学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张权</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“健康慧学”课堂教学模式构建的实践与研究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叶青</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“我爱绍兴土特产”拓展课程开发与实施的实践研究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柯桥区湖塘中心小学型塘校区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魏立</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SJZ21049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小学中高段“小古文”七彩课堂建构的实践研究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柯桥区齐贤中心小学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柴利江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疫情后期，探索缓解小班新生入园焦虑的策略研究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柯桥区安昌中心幼儿园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袁岳琴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基于网络工作室的名师队伍建设研究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柯桥区夏履镇中学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苗文娟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问题化学习：初中生科学学习力培养的实践研究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柯桥区实验中学新校区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徐金</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基于混合式教学的高中物理教学设计的实践与思考</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柯桥区鉴湖中学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徐烨</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高中微技能渗透式学习读写课程建设的实践研究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陶红刚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基于生活情境的高中生应用文写作课程建设的实践研究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刘平进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小学英语卷入式教研提升教师专业胡实践研究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柯桥区华舍街道蜀阜小学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柴佳佳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初中科学青年教师素养形成与评价的研究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柯桥区教师发展中心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王华震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小班幼儿早期阅读兴趣培养的实践研究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柯桥区柯岩新未庄幼儿园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孙芳华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SJZ21059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幼儿园体验式活动下健康食育的探索研究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柯桥区杨汛桥中心幼儿园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胡佳萍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基于STEAM理念的项目式开发在小学科学教育中的应用探究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柯桥区鉴湖小学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田健健</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幼儿“快乐足球”课程建设的实践研究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柯桥区福全街道福全幼儿园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罗洪群</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初中学校校本课程创新实践研究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柯桥区秋瑾中学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幼儿园“童心德育”课程有效推进的实践研究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柯桥区杨汛桥展望幼儿园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毛华娟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“互联网+”时代下的城乡同步课堂的实践与研究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柯桥区中国轻纺城第二小学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吴育璋</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借“朗读者”平台提升学生朗读素养的行动研究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柯桥区中国轻纺城第二小学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盛国香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幼儿教师“观察-识别—支持”素养提升的路径研究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柯桥区教师发展中心</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沈国香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柯桥非遗主题项目化学习的实践研究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金利萍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基于学情大数据的精准教学课堂形态探究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柯桥区安昌中心小学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濮志坚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SJZ21069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课堂、课题、课程相融合的青年教师校本培训的实践研究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王承根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基于教学行为改进的“思·享”课堂范式研究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柯桥区柯岩中心小学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基于幼儿需求的“亲亲自然”生活课程开发的行动研究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上虞区鸿雁幼儿园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朱臣</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幼儿园环境资源课程化策略的实践研究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上虞区第一实验幼儿园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汤柳霞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核心素养导向的物理教学情境创设策略的研究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任浩军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活教育理念下的校园生态课程构建与实践研究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上虞区城东小学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冯菊迪</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儿童“本真习作”的实践与研究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上虞区实验小学教育集团（上德校区）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何斐</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基于审辩式思维的小学“新闻议事”课程的开发与研究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上虞区小越街道中心小学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林志明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高中历史学科“素养态”教学设计与改进研究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上虞区教师进修学校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陶弘标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小学低段“E游考”评价策略研究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上虞区博文小学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李洪洋</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SJZ21079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平板电脑与科学实验教学有效整合的策略研究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浙江华维外国语学校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黄后昌</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着眼物理文化的高中校本课程的开发与实践研究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春晖中学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田方娴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幼儿园运动课程的建构与审议的行动研究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上虞区爱弥儿幼儿园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潘桂英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幼小衔接阶段幼儿数学思维能力培养的策略研究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上虞区爱弥儿幼儿园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吕芳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保教融合提升幼儿体能的策略研究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上虞区爱弥儿幼儿园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黄晓燕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基于初中素质大课间提高学生体质的实践策略研究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上虞区道墟街道中学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孙建林</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“孝行茶乡 ”拓展课程的实践与研究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上虞区百官重华小学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夏莉娣</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“童心课堂”的教学追求与实践框架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上虞区崧厦街道金近小学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邵瑞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 用敬修好少年的要求规范少先队员行为的研究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上虞区驿亭镇中心小学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24-36个月龄幼儿主题式亲子绘本教学的实践研究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上虞区鹤琴幼儿园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何淑鹏</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SJZ21089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初中学生劳动教育中渗透“职业能力培养”的实践研究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上虞区龙山学校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任波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“绘本”媒介下的幼小衔接策略研究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上虞区梁湖街道中心幼儿园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吴卓娅</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 《童话读写绘，学习社会主义核心价值观》校本课程的开发和实施研究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上虞区华维文澜小学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刘雅萍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农村高中青年教师队伍建设的有效探索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上虞区小越中学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何桂仙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基于项目小组的幼儿园小农场课程开发的实践研究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上虞区第二实验幼儿园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幼儿园项目式研修促教师成长的实践研究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诸暨市实验幼教集团城东幼儿园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杨徐燕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幼儿在自主游戏中建构环境的实践研究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诸暨市暨阳街道暨北幼儿园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基于孩子美好童年的行知故事剧场实践研究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诸暨市行知幼教集团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杨招娣</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回归儿童本真生活的幼儿园“行知数学”实践研究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诸暨市暨阳街道行知幼儿园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傅铁瑛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以劳动教育促大班幼儿入学适应能力发展的行动研究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诸暨市行知幼儿园教育集团东望幼儿园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邱彩萍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SJZ21099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以反思日记促幼儿园新手教师专业成长的行动研究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诸暨市暨阳街道行知幼儿园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王亚飞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通过多元评价延展校本课程的长宽高策略研究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诸暨市陶朱街道初级中学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冯柳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精准教学背景下云教学的实践和探索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诸暨市学勉中学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齐松懋</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指向素养本位的项目化课程设计和实施路径探索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诸暨市实验小学教育集团荷花小学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许惠</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基于学习共同体的课堂教学改革实践研究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诸暨市浬浦中学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朱巨天</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借助同胞主题PBL微项目群促进良性同胞关系形成的实践研究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诸暨市牌头镇中心学校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罗煜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CIP理论下体验式生涯辅导激发高中生学习动机的实践研究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诸暨市湄池中学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郦娣</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儿童哲学启蒙教学活动的实践与研究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诸暨市浣东街道中心小学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何晓峰</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浣东小学与山后完小“互联网+”结对帮扶的实施路径和策略</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诸暨市浣东街道中心学校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罗敏萍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高一化学新教材中融合核心素养的项目式教学探索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王幼琴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SJZ21109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“绘本➕”理念下幼儿科学绘本教育活动的实践研究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诸暨市实验幼儿园教育集团城东幼儿园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张晓霞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以“幸福币”促进幼儿社会品质发展的项目研究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诸暨市实验幼儿园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俞红菊</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有效“师徒结对”提高青年教师课堂教学技能的实践研究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诸暨市荣怀学校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王慧君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“家”文化仪式教育载体缓解孩童“假期综合症”的行动研究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诸暨市暨阳街道滨江小学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方杭琼</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基于成就需要理论梯级培养名优教师的实践研究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诸暨市海亮教育管理集团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金百炼</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基于课堂观察打造品质课堂的行动研究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诸暨市海亮教育管理集团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赵小华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前导课程在STEM课程开发中的必要性研究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诸暨市海亮小学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何楼</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“1+N”帮带模式提升新教师家园沟通能力的行动研究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诸暨市浣江幼儿园教育集团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方成燕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评价墙提升中班幼儿自我调节能力的行动研究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诸暨市浣江幼儿园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郭竹秀</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基于具身认知理论的“我是浣纱娃”园本化生活课程的实践研究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诸暨市浣纱幼儿园教育集团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SJZ21119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核心素养下初中生信息技术教学策略研究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诸暨市大唐初级中学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王悦钢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在拓展型课程中转化问题学生的研究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诸暨市大唐街道文昌小学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傅滟平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乡镇区域名师工作室研修模式优化策略研究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诸暨市店口镇中心学校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何铁勇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运用体操垫开展幼儿园体育游戏的行动研究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诸暨市店口镇中里中心村幼儿园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王彩军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学科内项目化学习推进：小学生深度学习的策略研究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诸暨市店口镇弘毅小学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楼和东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课堂志视域下促进小学生深度学习的实践研究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诸暨市店口镇湄池小学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周米洁</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大班幼儿“偷拿”行为成因与矫治的个案研究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诸暨市店口镇大湖幼儿园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王琼华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利用共同体活动促进多民族小学文化浸润的行动研究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诸暨市店口镇明诚小学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蒋钰娜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利用垃圾分类优化中班幼儿环境教育的行动研究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诸暨市店口镇湄池幼儿园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边航</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以项目化学习推进初中生综合性学习的实践研究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诸暨市店口镇湄池初级中学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斯巍巍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SJZ21129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产教融合:校内生产性实训基地建设的探索和实践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诸暨技师学院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宣国强</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加强农村留守学生德育建设的思考与探索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诸暨市东白湖镇初级中学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应乃金</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系统式家庭治疗在学校心理咨询中的实践与研究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诸暨市暨阳街道新世纪小学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章锡飞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通过研学旅行激发学生地理学习兴趣的策略研究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诸暨市湄池中学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俞程菲</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三环七维：新劳动教育课程开发和实施路径和策略研究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嵊州市剡溪小学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张小丽 </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学习共同体视角下的高中教研团队建设的实践研究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王百庆</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以竹养真：推动校园文化建设的实践研究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嵊州市谷来镇竹溪中心小学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蒋乐炯</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农村初中体育（排球）基地运作模式的实践与研究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嵊州市黄泽镇中学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裘平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基于“生命科学”理念的大班种养区建构的行为研究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嵊州市红旗幼儿园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竺丽红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“剡言堂”教师课程：校本研修新路径的实践研究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嵊州市剡山小学教育集团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吴芳影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SJZ21139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农村幼儿园混龄背景下区域游戏的开发与实践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嵊州市黄泽镇中心幼儿园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钱魏</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幼儿园乡土特色美术教学活动的设计与实施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嵊州市长乐镇中心幼儿园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沈海霞</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依托“诊断式”教研促进校本研修精准化的实践研究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嵊州市城南小学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蒋忠平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“走进纸世界”儿童探究课程的开发与实施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嵊州市剡山小学教育集团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本土非遗文化融合美术课程实践研究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嵊州市剡山小学教育集团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骆玲萍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“图式绘本”：培养大班幼儿批判性表达的策略研究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嵊州市开发区幼教集团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俞忠丽</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小学生“志业人生”职业启蒙教育项目化学习策略研究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嵊州市双塔小学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李东升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基于童诗校本课程促学生思维能力培养的实践研究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嵊州市实验小学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基于校园文化的“指尖莲舞”美术课程开发与实践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嵊州市莲塘小学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 洁</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开展本土“非遗”传习促进乡情教育的实践与研究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嵊州市黄泽镇中学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张甜甜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SJZ21149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打造开放式中医药儿童博物馆的行动研究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嵊州市爱德小学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过小燕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如何缓解留守中学生心理压力的实践和研究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嵊州市崇仁中学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裘小明</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构建农村小学生“圆融心理”的尝试与探究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嵊州市仙岩镇仁村小学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董雪芳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结题文件号〔2019〕19号2019年嵊州市教育科学规划综合类课题一等奖</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《指南》背景下优化幼儿美术“专用室”的实践研究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新昌幼教集团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梁芳芳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“故事分享法”提升新教师专业思考力的实践探究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新昌县城东实验幼儿园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梁丽雅</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以职业视角切入幼儿园主题活动的实践研究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新昌县城东实验幼儿园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杨明媚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开展“卷入式教研”助推教师专业成长的实践探索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新昌县礼泉小学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盛国阳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如何优化小学科学高段学生实验记录的有效性</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新昌县儒岙镇中心小学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王丽君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小学数学逻辑思维能力训练走进日常课堂的研究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新昌县南岩小学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章军灵</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“以生为本”的体验式德育创新实践活动的探索研究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新昌县育英小学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俞海燕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SJZ21159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文化自信背景下“天姥唐诗”研游课程的开发</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新昌县实验小学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舒义平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基于学校“一米菜园”的STEAM项目开发与实践研究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新昌县七星小学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陈晓锋</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非物质文化“丁家坞马灯”进校园的实践与研究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新昌县城南小学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潘晓伟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外来务工随迁子女课外阅读兴趣培养的策略探索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新昌县城东实验学校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王越英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低段语文学业评价中档案袋的分类制作和应用研究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新昌县城东实验学校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石超英</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以智慧教育为支点推进学校跨越发展的实践探索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新昌县实验中学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马红波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基于LICC范式培养教师问题意识的策略研究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新昌县西郊中学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丁桔灿</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以品质课堂为载体推进教师发展的校本实践研究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新昌县知新中学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楼宝丽</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基于"初阳教师团队”项目建设的青年教师成长研究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俞宏慧</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基于主题性研学旅校本课程的探索与实施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新昌县鼓山中学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徐红素</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SJZ21169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蒙特梭利视域下课程园本化的实践与研究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绍兴市菲索国际幼儿园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董晓琴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“互联网+”推进义务教育优质均衡发展策略研究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绍兴市教育局</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姚国庆</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学校与教研机构深度合体机制研究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绍兴市教育教学研究院附属小学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骆海燕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基于红领巾学院的“红孩子”培育实践研究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绍兴文理学院附属小学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黄刚强</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灵芝小学“芝兰德育”的实践研究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越城区灵芝街道中心小学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谢海芳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以亲情公益深化学校德育有效实施的实践与研究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越城区塔山中心小学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叶燕芬</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校本作业优化过程中发展教师研究能力的实践探索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柯桥区齐贤中学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陶勇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基于班主任有效沟通下的家校共育策略的案例研究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上虞区小越街道中心小学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陶霞君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依托“放心小队”创建班集体“C位管理”的行动研究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嵊州市鹿山小学教育集团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潘海香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构建班级“亲情站”的实践与研究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越城区鲁迅小学（和畅堂）</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鲁林思豫</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SJZ21179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幼儿园生态学理念下班级特色区域创设研究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诸暨市暨阳街道行知幼儿园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王玛珂</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依托责任清单促进农村初中班级学生自主管理的实践研究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诸暨市湄池初中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俞杭燕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小学班级“智囊团”自主管理机制及优化策略研究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嵊州市城南小学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李冰静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焦点解决中的例外技术在班级管理中的实践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嵊州市三江小学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周月平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以班本活动为载体的高三学生幸福力探索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绍兴市阳明中学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张洁</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疫情防控常态下班级管理机制的研究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绍兴市稽山中学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何森彪</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初中校园欺凌防治可行性措施的探索与实践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柯桥区齐贤中学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许高祥</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城区小学书香班级建设实施策略的实践研究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上虞区实验小学教育集团(实验校区）</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杜一青</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基于成长日记转化问题学生的实践研究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上虞区丰惠镇中心小学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张丽君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疫情背景下小学英雄教育活动策略研究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上虞区崧厦街道中心小学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姜丽凤</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SJZ21189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指向高中尖子生团队养育的“细节管理”实践与策略研究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郑玲珍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改变普高学生在校期间“家长缺位”现象的策略研究与实践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杜王芳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利用植物角培养小学“关爱型”班级文化实践研究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新昌县实验小学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章琦</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基于中学生“责任担当”素养的班主任线上德育策略研究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新昌县实验中学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张秀莲</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反校园欺凌动态管理机制建设研究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新昌县潜溪中学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俞伟超</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“微”时代下基于班级文化活动提升初中学生生命质量的有效性研究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新昌县潜溪中学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王海燕</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以班报为载体的班级文化建设的再研究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新昌县知新中学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王剑平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班级管理</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基于农村学校的劳动教育资源开发与实施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柯桥区华甫中学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沈琴</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课程思政视域下，小学校本德育课程数字化建构与应用策略的实践研究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上虞区滨江小学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芦洪娣</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“活教育”背景下学贤研学旅行综合实践课程思政的探索与研究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上虞区滨江小学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张春红</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SJZ21199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对随迁子女开展民族团结教育的实践研究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越城区皋埠街道新桥完小</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陆建坤</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小学低段利用“红色文化资源”开展课程思政的实践与研究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越城区培新小学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郭芳芳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基于课程思政理念的高中化学课堂教学思考与实践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绍兴市第一中学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冯莹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思政课程下农村小学生“追寻红色印记、传承红色基因”的实践与探究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越城区孙端镇中心小学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李伟刚</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幼儿园“和、阅”特色课程开发与实践研究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柯桥区华舍聚贤幼儿园</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王芬珍</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“课程思政”理念引领的高中生生涯规划教育实践研究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柯桥区钱清中学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吴新竹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“德润童心”数字课程开发与实施</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上虞区实验小学教育集团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祝浩军</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课程思政指引下小学数学拓展性课程的实践研究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上虞区丰惠镇中心小学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陈 炜</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“经典歌曲扬孝德”拓展性课程的开发和实施研究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上虞区百官小学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黄春晖</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实践领悟效能下提升廉洁程度的行动探究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诸暨工业职业技术学校</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黄柳松</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SJZ21209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基于葫芦文化的“3D打印”创客教育的实践探索</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新昌县城关中学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潘荣辉</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中职计算机专业课程“思政教育”的探索与实践</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新昌技师学院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耿美月</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以养正文化引领法制教育进校园实践活动建构</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新昌县知新中学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唐姗姗</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利用乡土文化资源，推进“崇德尚仁”课程的开发和建设</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嵊州市崇仁镇中心小学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裘佳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基于初中生思想政治教育工作的研究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嵊州市爱德初级中学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赵春晓</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红色教育与大班养正课程融合的实践研究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新昌幼教集团</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唐妍艳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本土红色文化与学校思想道德教育相融合的实践与研究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新昌县七星小学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梁美芳</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课程思政</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SJZ21216</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刀郎“农民画”融入小学美术教学的实践与研究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阿瓦提县鲁迅小学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马金香</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SJZ21217</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基于阿瓦提鲁迅小学“组团式”教育援疆的行动研究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阿瓦提县鲁迅小学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朱国成 </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SJZ21218</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推进阿瓦提“1+4+X”新课改辐射教学的研究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金晖</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SJZ21219</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融合视域下高中英语主题写作教学的校本研究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阿瓦提县第四中学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罗娟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SJZ21220</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基于小学英语表达能力提升的教学实践与研究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阿瓦提县鲁迅小学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高卫星</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SJZ21221</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借助“组团式”援疆实施“课程思政”的探究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阿瓦提县鲁迅小学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吴良中</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SJZ21222</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刀郎木卡姆文化在校园合唱教学中的应用及探究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阿瓦提县鲁迅小学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周 方</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SJZ21223</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 xml:space="preserve">保护发展刀郎文化：县域教育中推进文化润疆的路径探究      </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蒋越均</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SJZ21224</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地域文化研学：整本书阅读新探索的实践研究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阿瓦提县第四中学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冯祥桦</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SJZ21225</w:t>
            </w:r>
          </w:p>
        </w:tc>
        <w:tc>
          <w:tcPr>
            <w:tcW w:w="757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初中名著竞赛阅读实践研究</w:t>
            </w:r>
          </w:p>
        </w:tc>
        <w:tc>
          <w:tcPr>
            <w:tcW w:w="309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阿瓦提县第二中学</w:t>
            </w:r>
          </w:p>
        </w:tc>
        <w:tc>
          <w:tcPr>
            <w:tcW w:w="9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求开章</w:t>
            </w:r>
          </w:p>
        </w:tc>
        <w:tc>
          <w:tcPr>
            <w:tcW w:w="1410" w:type="dxa"/>
            <w:tcBorders>
              <w:top w:val="single" w:color="auto" w:sz="4" w:space="0"/>
              <w:left w:val="single" w:color="auto" w:sz="4" w:space="0"/>
              <w:bottom w:val="single" w:color="auto" w:sz="4"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r>
        <w:tblPrEx>
          <w:tblCellMar>
            <w:top w:w="0" w:type="dxa"/>
            <w:left w:w="108" w:type="dxa"/>
            <w:bottom w:w="0" w:type="dxa"/>
            <w:right w:w="108" w:type="dxa"/>
          </w:tblCellMar>
        </w:tblPrEx>
        <w:trPr>
          <w:trHeight w:val="337" w:hRule="atLeast"/>
        </w:trPr>
        <w:tc>
          <w:tcPr>
            <w:tcW w:w="0" w:type="auto"/>
            <w:tcBorders>
              <w:top w:val="single" w:color="auto" w:sz="4" w:space="0"/>
              <w:left w:val="single" w:color="auto" w:sz="12" w:space="0"/>
              <w:bottom w:val="single" w:color="auto" w:sz="12"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SJZ21226</w:t>
            </w:r>
          </w:p>
        </w:tc>
        <w:tc>
          <w:tcPr>
            <w:tcW w:w="7571"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信息课程融入“民族观”教学实践与探索</w:t>
            </w:r>
          </w:p>
        </w:tc>
        <w:tc>
          <w:tcPr>
            <w:tcW w:w="3090"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阿瓦提县第二中学</w:t>
            </w:r>
          </w:p>
        </w:tc>
        <w:tc>
          <w:tcPr>
            <w:tcW w:w="900" w:type="dxa"/>
            <w:tcBorders>
              <w:top w:val="single" w:color="auto" w:sz="4" w:space="0"/>
              <w:left w:val="single" w:color="auto" w:sz="4" w:space="0"/>
              <w:bottom w:val="single" w:color="auto" w:sz="12"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俞燕昌</w:t>
            </w:r>
          </w:p>
        </w:tc>
        <w:tc>
          <w:tcPr>
            <w:tcW w:w="1410" w:type="dxa"/>
            <w:tcBorders>
              <w:top w:val="single" w:color="auto" w:sz="4" w:space="0"/>
              <w:left w:val="single" w:color="auto" w:sz="4" w:space="0"/>
              <w:bottom w:val="single" w:color="auto" w:sz="12" w:space="0"/>
              <w:right w:val="single" w:color="auto" w:sz="12" w:space="0"/>
            </w:tcBorders>
            <w:vAlign w:val="center"/>
          </w:tcPr>
          <w:p>
            <w:pPr>
              <w:widowControl/>
              <w:adjustRightInd w:val="0"/>
              <w:snapToGrid w:val="0"/>
              <w:rPr>
                <w:rFonts w:hint="eastAsia" w:ascii="Times New Roman" w:hAnsi="Times New Roman" w:eastAsia="楷体" w:cs="Times New Roman"/>
                <w:color w:val="000000"/>
                <w:kern w:val="0"/>
                <w:sz w:val="21"/>
                <w:szCs w:val="21"/>
                <w:lang w:val="en-US" w:eastAsia="zh-CN" w:bidi="ar-SA"/>
              </w:rPr>
            </w:pPr>
            <w:r>
              <w:rPr>
                <w:rFonts w:hint="eastAsia" w:ascii="Times New Roman" w:hAnsi="Times New Roman" w:eastAsia="楷体" w:cs="Times New Roman"/>
                <w:color w:val="000000"/>
                <w:kern w:val="0"/>
                <w:szCs w:val="21"/>
                <w:lang w:val="en-US" w:eastAsia="zh-CN"/>
              </w:rPr>
              <w:t>援疆课题</w:t>
            </w:r>
          </w:p>
        </w:tc>
      </w:tr>
    </w:tbl>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仿宋_GB2312" w:hAnsi="微软雅黑" w:eastAsia="仿宋_GB2312" w:cs="宋体"/>
          <w:color w:val="333333"/>
          <w:kern w:val="0"/>
          <w:sz w:val="24"/>
          <w:szCs w:val="24"/>
        </w:rPr>
      </w:pPr>
    </w:p>
    <w:p>
      <w:pPr>
        <w:rPr>
          <w:rFonts w:ascii="Times New Roman" w:hAnsi="Times New Roman" w:eastAsia="仿宋" w:cs="Times New Roman"/>
        </w:rPr>
      </w:pPr>
    </w:p>
    <w:p>
      <w:pPr>
        <w:rPr>
          <w:rFonts w:ascii="Times New Roman" w:hAnsi="Times New Roman" w:eastAsia="仿宋" w:cs="Times New Roman"/>
        </w:rPr>
      </w:pPr>
      <w:r>
        <w:rPr>
          <w:rFonts w:ascii="Times New Roman" w:hAnsi="Times New Roman" w:eastAsia="仿宋" w:cs="Times New Roman"/>
        </w:rPr>
        <w:t>附件</w:t>
      </w:r>
      <w:r>
        <w:rPr>
          <w:rFonts w:hint="eastAsia" w:ascii="Times New Roman" w:hAnsi="Times New Roman" w:eastAsia="仿宋" w:cs="Times New Roman"/>
        </w:rPr>
        <w:t>3：</w:t>
      </w:r>
    </w:p>
    <w:p>
      <w:pPr>
        <w:rPr>
          <w:rFonts w:ascii="Times New Roman" w:hAnsi="Times New Roman" w:eastAsia="仿宋" w:cs="Times New Roman"/>
        </w:rPr>
      </w:pPr>
    </w:p>
    <w:p>
      <w:pPr>
        <w:jc w:val="center"/>
        <w:rPr>
          <w:rFonts w:ascii="华文中宋" w:hAnsi="华文中宋" w:eastAsia="华文中宋"/>
          <w:b/>
          <w:sz w:val="36"/>
          <w:szCs w:val="36"/>
        </w:rPr>
      </w:pPr>
      <w:r>
        <w:rPr>
          <w:rFonts w:ascii="Times New Roman" w:hAnsi="Times New Roman" w:eastAsia="华文中宋" w:cs="Times New Roman"/>
          <w:b/>
          <w:spacing w:val="2"/>
          <w:sz w:val="36"/>
          <w:szCs w:val="36"/>
        </w:rPr>
        <w:t>202</w:t>
      </w:r>
      <w:r>
        <w:rPr>
          <w:rFonts w:hint="eastAsia" w:ascii="Times New Roman" w:hAnsi="Times New Roman" w:eastAsia="华文中宋" w:cs="Times New Roman"/>
          <w:b/>
          <w:spacing w:val="2"/>
          <w:sz w:val="36"/>
          <w:szCs w:val="36"/>
          <w:lang w:val="en-US" w:eastAsia="zh-CN"/>
        </w:rPr>
        <w:t>1</w:t>
      </w:r>
      <w:r>
        <w:rPr>
          <w:rFonts w:ascii="Times New Roman" w:hAnsi="Times New Roman" w:eastAsia="华文中宋" w:cs="Times New Roman"/>
          <w:b/>
          <w:spacing w:val="2"/>
          <w:sz w:val="36"/>
          <w:szCs w:val="36"/>
        </w:rPr>
        <w:t>年绍兴市教育科学规划立项课</w:t>
      </w:r>
      <w:r>
        <w:rPr>
          <w:rFonts w:ascii="Times New Roman" w:hAnsi="Times New Roman" w:eastAsia="华文中宋" w:cs="Times New Roman"/>
          <w:b/>
          <w:sz w:val="36"/>
          <w:szCs w:val="36"/>
        </w:rPr>
        <w:t>题</w:t>
      </w:r>
      <w:r>
        <w:rPr>
          <w:rFonts w:ascii="Times New Roman" w:hAnsi="楷体" w:eastAsia="楷体" w:cs="Times New Roman"/>
          <w:b/>
          <w:sz w:val="28"/>
          <w:szCs w:val="28"/>
        </w:rPr>
        <w:t>（</w:t>
      </w:r>
      <w:r>
        <w:rPr>
          <w:rFonts w:hint="eastAsia" w:ascii="Times New Roman" w:hAnsi="楷体" w:eastAsia="楷体" w:cs="Times New Roman"/>
          <w:b/>
          <w:sz w:val="28"/>
          <w:szCs w:val="28"/>
        </w:rPr>
        <w:t>绍教改SJG</w:t>
      </w:r>
      <w:r>
        <w:rPr>
          <w:rFonts w:ascii="Times New Roman" w:hAnsi="楷体" w:eastAsia="楷体" w:cs="Times New Roman"/>
          <w:b/>
          <w:sz w:val="28"/>
          <w:szCs w:val="28"/>
        </w:rPr>
        <w:t>，共</w:t>
      </w:r>
      <w:r>
        <w:rPr>
          <w:rFonts w:hint="eastAsia" w:ascii="Times New Roman" w:hAnsi="Times New Roman" w:eastAsia="楷体" w:cs="Times New Roman"/>
          <w:b/>
          <w:sz w:val="28"/>
          <w:szCs w:val="28"/>
        </w:rPr>
        <w:t>4</w:t>
      </w:r>
      <w:r>
        <w:rPr>
          <w:rFonts w:hint="eastAsia" w:ascii="Times New Roman" w:hAnsi="Times New Roman" w:eastAsia="楷体" w:cs="Times New Roman"/>
          <w:b/>
          <w:sz w:val="28"/>
          <w:szCs w:val="28"/>
          <w:lang w:val="en-US" w:eastAsia="zh-CN"/>
        </w:rPr>
        <w:t>24</w:t>
      </w:r>
      <w:r>
        <w:rPr>
          <w:rFonts w:ascii="Times New Roman" w:hAnsi="楷体" w:eastAsia="楷体" w:cs="Times New Roman"/>
          <w:b/>
          <w:sz w:val="28"/>
          <w:szCs w:val="28"/>
        </w:rPr>
        <w:t>项）</w:t>
      </w:r>
    </w:p>
    <w:p/>
    <w:tbl>
      <w:tblPr>
        <w:tblStyle w:val="2"/>
        <w:tblW w:w="1418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842"/>
        <w:gridCol w:w="6592"/>
        <w:gridCol w:w="3312"/>
        <w:gridCol w:w="11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tblHeader/>
        </w:trPr>
        <w:tc>
          <w:tcPr>
            <w:tcW w:w="1242" w:type="dxa"/>
            <w:tcBorders>
              <w:bottom w:val="single" w:color="auto" w:sz="12" w:space="0"/>
              <w:right w:val="single" w:color="auto" w:sz="6" w:space="0"/>
            </w:tcBorders>
            <w:shd w:val="clear" w:color="auto" w:fill="C8C8C8" w:themeFill="accent3" w:themeFillTint="99"/>
            <w:vAlign w:val="center"/>
          </w:tcPr>
          <w:p>
            <w:pPr>
              <w:widowControl/>
              <w:adjustRightInd w:val="0"/>
              <w:snapToGrid w:val="0"/>
              <w:jc w:val="center"/>
              <w:rPr>
                <w:rFonts w:hint="default" w:ascii="Times New Roman" w:hAnsi="Times New Roman" w:eastAsia="楷体" w:cs="Times New Roman"/>
                <w:b/>
                <w:bCs/>
                <w:color w:val="auto"/>
                <w:kern w:val="0"/>
                <w:szCs w:val="21"/>
              </w:rPr>
            </w:pPr>
            <w:r>
              <w:rPr>
                <w:rFonts w:hint="default" w:ascii="Times New Roman" w:hAnsi="Times New Roman" w:eastAsia="楷体" w:cs="Times New Roman"/>
                <w:b/>
                <w:bCs/>
                <w:color w:val="auto"/>
                <w:kern w:val="0"/>
                <w:szCs w:val="21"/>
              </w:rPr>
              <w:t>序号</w:t>
            </w:r>
          </w:p>
        </w:tc>
        <w:tc>
          <w:tcPr>
            <w:tcW w:w="1842" w:type="dxa"/>
            <w:tcBorders>
              <w:left w:val="single" w:color="auto" w:sz="6" w:space="0"/>
              <w:bottom w:val="single" w:color="auto" w:sz="12" w:space="0"/>
              <w:right w:val="single" w:color="auto" w:sz="6" w:space="0"/>
            </w:tcBorders>
            <w:shd w:val="clear" w:color="auto" w:fill="C8C8C8" w:themeFill="accent3" w:themeFillTint="99"/>
            <w:vAlign w:val="center"/>
          </w:tcPr>
          <w:p>
            <w:pPr>
              <w:widowControl/>
              <w:adjustRightInd w:val="0"/>
              <w:snapToGrid w:val="0"/>
              <w:jc w:val="center"/>
              <w:rPr>
                <w:rFonts w:ascii="Times New Roman" w:hAnsi="楷体" w:eastAsia="楷体" w:cs="Times New Roman"/>
                <w:b/>
                <w:bCs/>
                <w:color w:val="auto"/>
                <w:kern w:val="0"/>
                <w:szCs w:val="21"/>
              </w:rPr>
            </w:pPr>
            <w:r>
              <w:rPr>
                <w:rFonts w:ascii="Times New Roman" w:hAnsi="楷体" w:eastAsia="楷体" w:cs="Times New Roman"/>
                <w:b/>
                <w:bCs/>
                <w:color w:val="auto"/>
                <w:kern w:val="0"/>
                <w:szCs w:val="21"/>
              </w:rPr>
              <w:t>学</w:t>
            </w:r>
            <w:r>
              <w:rPr>
                <w:rFonts w:hint="eastAsia" w:ascii="Times New Roman" w:hAnsi="楷体" w:eastAsia="楷体" w:cs="Times New Roman"/>
                <w:b/>
                <w:bCs/>
                <w:color w:val="auto"/>
                <w:kern w:val="0"/>
                <w:szCs w:val="21"/>
              </w:rPr>
              <w:t xml:space="preserve">  </w:t>
            </w:r>
            <w:r>
              <w:rPr>
                <w:rFonts w:ascii="Times New Roman" w:hAnsi="楷体" w:eastAsia="楷体" w:cs="Times New Roman"/>
                <w:b/>
                <w:bCs/>
                <w:color w:val="auto"/>
                <w:kern w:val="0"/>
                <w:szCs w:val="21"/>
              </w:rPr>
              <w:t>科</w:t>
            </w:r>
          </w:p>
        </w:tc>
        <w:tc>
          <w:tcPr>
            <w:tcW w:w="6592" w:type="dxa"/>
            <w:tcBorders>
              <w:left w:val="single" w:color="auto" w:sz="6" w:space="0"/>
              <w:bottom w:val="single" w:color="auto" w:sz="12" w:space="0"/>
              <w:right w:val="single" w:color="auto" w:sz="6" w:space="0"/>
            </w:tcBorders>
            <w:shd w:val="clear" w:color="auto" w:fill="C8C8C8" w:themeFill="accent3" w:themeFillTint="99"/>
            <w:vAlign w:val="center"/>
          </w:tcPr>
          <w:p>
            <w:pPr>
              <w:widowControl/>
              <w:adjustRightInd w:val="0"/>
              <w:snapToGrid w:val="0"/>
              <w:jc w:val="center"/>
              <w:rPr>
                <w:rFonts w:ascii="Times New Roman" w:hAnsi="楷体" w:eastAsia="楷体" w:cs="Times New Roman"/>
                <w:b/>
                <w:bCs/>
                <w:color w:val="auto"/>
                <w:kern w:val="0"/>
                <w:szCs w:val="21"/>
              </w:rPr>
            </w:pPr>
            <w:r>
              <w:rPr>
                <w:rFonts w:ascii="Times New Roman" w:hAnsi="楷体" w:eastAsia="楷体" w:cs="Times New Roman"/>
                <w:b/>
                <w:bCs/>
                <w:color w:val="auto"/>
                <w:kern w:val="0"/>
                <w:szCs w:val="21"/>
              </w:rPr>
              <w:t>题</w:t>
            </w:r>
            <w:r>
              <w:rPr>
                <w:rFonts w:hint="eastAsia" w:ascii="Times New Roman" w:hAnsi="楷体" w:eastAsia="楷体" w:cs="Times New Roman"/>
                <w:b/>
                <w:bCs/>
                <w:color w:val="auto"/>
                <w:kern w:val="0"/>
                <w:szCs w:val="21"/>
              </w:rPr>
              <w:t xml:space="preserve">     </w:t>
            </w:r>
            <w:r>
              <w:rPr>
                <w:rFonts w:ascii="Times New Roman" w:hAnsi="楷体" w:eastAsia="楷体" w:cs="Times New Roman"/>
                <w:b/>
                <w:bCs/>
                <w:color w:val="auto"/>
                <w:kern w:val="0"/>
                <w:szCs w:val="21"/>
              </w:rPr>
              <w:t>目</w:t>
            </w:r>
          </w:p>
        </w:tc>
        <w:tc>
          <w:tcPr>
            <w:tcW w:w="3312" w:type="dxa"/>
            <w:tcBorders>
              <w:left w:val="single" w:color="auto" w:sz="6" w:space="0"/>
              <w:bottom w:val="single" w:color="auto" w:sz="12" w:space="0"/>
              <w:right w:val="single" w:color="auto" w:sz="6" w:space="0"/>
            </w:tcBorders>
            <w:shd w:val="clear" w:color="auto" w:fill="C8C8C8" w:themeFill="accent3" w:themeFillTint="99"/>
            <w:vAlign w:val="center"/>
          </w:tcPr>
          <w:p>
            <w:pPr>
              <w:widowControl/>
              <w:adjustRightInd w:val="0"/>
              <w:snapToGrid w:val="0"/>
              <w:jc w:val="center"/>
              <w:rPr>
                <w:rFonts w:ascii="Times New Roman" w:hAnsi="楷体" w:eastAsia="楷体" w:cs="Times New Roman"/>
                <w:b/>
                <w:bCs/>
                <w:color w:val="auto"/>
                <w:kern w:val="0"/>
                <w:szCs w:val="21"/>
              </w:rPr>
            </w:pPr>
            <w:r>
              <w:rPr>
                <w:rFonts w:ascii="Times New Roman" w:hAnsi="楷体" w:eastAsia="楷体" w:cs="Times New Roman"/>
                <w:b/>
                <w:bCs/>
                <w:color w:val="auto"/>
                <w:kern w:val="0"/>
                <w:szCs w:val="21"/>
              </w:rPr>
              <w:t>单</w:t>
            </w:r>
            <w:r>
              <w:rPr>
                <w:rFonts w:hint="eastAsia" w:ascii="Times New Roman" w:hAnsi="楷体" w:eastAsia="楷体" w:cs="Times New Roman"/>
                <w:b/>
                <w:bCs/>
                <w:color w:val="auto"/>
                <w:kern w:val="0"/>
                <w:szCs w:val="21"/>
              </w:rPr>
              <w:t xml:space="preserve">  </w:t>
            </w:r>
            <w:r>
              <w:rPr>
                <w:rFonts w:ascii="Times New Roman" w:hAnsi="楷体" w:eastAsia="楷体" w:cs="Times New Roman"/>
                <w:b/>
                <w:bCs/>
                <w:color w:val="auto"/>
                <w:kern w:val="0"/>
                <w:szCs w:val="21"/>
              </w:rPr>
              <w:t>位（全称）</w:t>
            </w:r>
          </w:p>
        </w:tc>
        <w:tc>
          <w:tcPr>
            <w:tcW w:w="1196" w:type="dxa"/>
            <w:tcBorders>
              <w:left w:val="single" w:color="auto" w:sz="6" w:space="0"/>
              <w:bottom w:val="single" w:color="auto" w:sz="12" w:space="0"/>
            </w:tcBorders>
            <w:shd w:val="clear" w:color="auto" w:fill="C8C8C8" w:themeFill="accent3" w:themeFillTint="99"/>
            <w:vAlign w:val="center"/>
          </w:tcPr>
          <w:p>
            <w:pPr>
              <w:widowControl/>
              <w:adjustRightInd w:val="0"/>
              <w:snapToGrid w:val="0"/>
              <w:jc w:val="center"/>
              <w:rPr>
                <w:rFonts w:ascii="Times New Roman" w:hAnsi="楷体" w:eastAsia="楷体" w:cs="Times New Roman"/>
                <w:b/>
                <w:bCs/>
                <w:color w:val="auto"/>
                <w:kern w:val="0"/>
                <w:szCs w:val="21"/>
              </w:rPr>
            </w:pPr>
            <w:r>
              <w:rPr>
                <w:rFonts w:ascii="Times New Roman" w:hAnsi="楷体" w:eastAsia="楷体" w:cs="Times New Roman"/>
                <w:b/>
                <w:bCs/>
                <w:color w:val="auto"/>
                <w:kern w:val="0"/>
                <w:szCs w:val="21"/>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1242" w:type="dxa"/>
            <w:tcBorders>
              <w:top w:val="single" w:color="auto" w:sz="12"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SJG21001</w:t>
            </w:r>
          </w:p>
        </w:tc>
        <w:tc>
          <w:tcPr>
            <w:tcW w:w="184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学习任务群背景下古代诗歌课堂教学新探</w:t>
            </w:r>
          </w:p>
        </w:tc>
        <w:tc>
          <w:tcPr>
            <w:tcW w:w="3312" w:type="dxa"/>
            <w:tcBorders>
              <w:top w:val="single" w:color="auto" w:sz="12"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柯桥区越崎中学</w:t>
            </w:r>
          </w:p>
        </w:tc>
        <w:tc>
          <w:tcPr>
            <w:tcW w:w="1196" w:type="dxa"/>
            <w:tcBorders>
              <w:top w:val="single" w:color="auto" w:sz="12" w:space="0"/>
              <w:left w:val="single" w:color="auto" w:sz="4" w:space="0"/>
              <w:bottom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凌青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1242" w:type="dxa"/>
            <w:tcBorders>
              <w:top w:val="single" w:color="auto" w:sz="4"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SJG21002</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动画短片应用于高中写作教学的探索</w:t>
            </w:r>
          </w:p>
        </w:tc>
        <w:tc>
          <w:tcPr>
            <w:tcW w:w="3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绍兴鲁迅高级中学</w:t>
            </w:r>
          </w:p>
        </w:tc>
        <w:tc>
          <w:tcPr>
            <w:tcW w:w="1196" w:type="dxa"/>
            <w:tcBorders>
              <w:top w:val="single" w:color="auto" w:sz="4" w:space="0"/>
              <w:left w:val="single" w:color="auto" w:sz="4" w:space="0"/>
              <w:bottom w:val="single" w:color="auto" w:sz="4" w:space="0"/>
            </w:tcBorders>
            <w:shd w:val="clear" w:color="auto" w:fill="auto"/>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核心素养视域下高中语文生长课堂学教评策略研究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柯桥区豫才中学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周智美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高中古诗文情境教学探究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上虞区城南中学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陈晓燕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基于逆向设计理念编写校本作业的实践研究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诸暨市教育研究中心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赵红平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整本书阅读视角下的普通高中生“读思讲写”模式的实践研究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诸暨市学勉中学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宣迪淼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基于情境创设的阅读课堂活动设计研究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马巧婷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指向“语言建构与运用”的课堂阅读教学实践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诸暨草塔中学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边建松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序列+案例：高中论述文写作逻辑思维能力提升策略研究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马小华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信息技术条件下论述类文章系统化写作教学探究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嵊州市崇仁中学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杨位红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巧用《&lt;论语&gt;选读》培养文化传承与理解能力的实践研究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学习任务群视域下基于首要教学原理的情境创设研究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新昌县教体局教研室</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王江锋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学生“个体言语经验”建构路径的改进与实践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潘露怡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运用“快速阅读法”进行高中语文阅读教学的有序训练</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新昌县鼓山中学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梁慧慧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《红楼梦》整本书思辨读写教学实践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谢澹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项目化学习：统编版教材“整本书阅读”教学策略探究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绍兴市阳明中学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沈灵琪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用“创意”点亮高中语文微创作的教学实践研究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王劲慧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基于“1+X”模式建构群文阅读课堂的实践研究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袁  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基于数学分析在高中数学函数教学中的应用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丁扬凯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基于新教材的数学变式教学的实践研究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柯桥区越崎中学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GeoGebra在高三数学高效复习中的实践性研究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柯桥区越崎中学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孙昌洋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高中数学教学中元认知能力培养研究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上虞区东关中学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倪胜男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思维导图在高中数学复习课中的运用研究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上虞区崧厦中学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章绍峰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高考培优微专题课程的开发和实践研究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诸暨中学暨阳分校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高一学生数学学习障碍分析及教学对策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诸暨市草塔中学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郑飞鹰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建模思想在数学课堂中落地的探索与研究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陈志远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提高高中数学课堂提问有效性的实践与研究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嵊州市黄泽中学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章钢良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高中数学教学中“错误”资源开发和利用实践研究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徐亚兰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变式教学在高中数学课堂中的实践研究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徐益萍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构建动力型困难学生的默会知识提高其数学有效学习的实践研究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新昌县鼓山中学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张亚芳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基于几何直观的高中数学教学改进策略</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新昌澄潭中学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俞丽春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数学有效性教学案例改进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王一行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基于核心素养的变式教学专题复习模式探索与实践研究方案</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沈海全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“直观想象素养”导向下主题教学设计的探索与实践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胡孟君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基于高中数学核心素养的单元教学探索与实践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文化自信视域下基于新教材的高中英语课堂模式构建策略研究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柯桥区钱清中学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吴新竹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基于情境的微写作改进高中英语读后续写教学的研究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柯桥区钱清中学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罗香娣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基于思维品质的高中英语阅读对分课堂的研究与实践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林倩文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基于单元话题的拓展性阅读教学实践与研究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上虞区城南中学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陶江英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基于培养高中生思维品质的阅读课教学实践探究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上虞区崧厦中学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基于学习共同体的高中英语课堂教学改革行动研究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诸暨市浬浦中学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谢惠阳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读后续写反拨下的阅读教学实践探究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赵琼慧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核心素养下基于单元主题语境的词汇教学探究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钟玲萍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读后续写之语言锤炼策略的实践和探索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陈淑君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基于核心素养对英文原著教学的实践探索与研究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王银莉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高中英语阅读教学中渗透词汇教学的策略研究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嵊州市黄泽中学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马凯旗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对比分析：高中英语词汇课情境教学应用研究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许成龙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读后续写课堂教学对学生思维品质培养的探索实践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核心素养视域下基于主题意义的阅读中的词汇教学策略探究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蔡小灵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高中英语经典文学作品分级阅读推进策略实践与研究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问题驱动的语篇分析可视化策略实践与探索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绍兴市阳明中学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竺新平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高中思政</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“法治意识”视角下的法律常识教学拓展的实践研究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柯桥区钱清中学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张国兴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高中思政</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高中政治教学中融入生涯教育的实践探索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柯桥区钱清中学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高中思政教材必修1“探究与分享”栏目实施的建议研究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朱丽萍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辩析式学习：指向“科学精神"培育的策略研究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诸暨市草塔中学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汤祖康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议题式教学中“问题串”设计的探索与实践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诸暨市湄池中学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坚指“红色基因”培养的议题式教学之探究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徐海锋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指向尝试学习的议题式课堂之行动探究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嵊州市三界中学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史吕芳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基于科学精神培育的政治课堂教学实践研究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新昌县知新中学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丁元元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高中思政课堂内外师生共读有效性及策略研究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彭爱波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高中政治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高中思想政治课堂活动型教学优化策略研究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绍兴市稽山中学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胡佳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物理课堂中渗透职业生涯教育的研究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袁奇英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高中物理科学论证活动的案例探究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上虞区城南中学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王秀莹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利用深度学习培养学生高阶思维的物理课堂教学研究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金嵩洲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基于“闭环控制”理论实施物理精准教学的实践研究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杨银海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立足“生活化实验”构建“感悟型”物理课堂的实践研究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诸暨市湄池中学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朱银智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深度学习观点下物理情境教育的案例研究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诸暨市第二高级中学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周志扬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基于情境认知理论提升物理核心素养的课例研究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诸暨市第二高级中学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徐将二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物理教学中电磁感应演示实验的设计与研究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朱杏英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新教材《机械能守恒定律》单元教学的实践研究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绍兴市阳明中学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肖立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高中物理“深度教学”课堂尝试性研究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 何尧荣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高中物理新教材运动学教学逻辑优化的实践研究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张惠作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基于模型认知的高三化学复习教学实践研究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柯桥区钱清中学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俞水泉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基于化学概念转变策略研究教学实践研究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黄裕隆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新课程下高中化学必修教材实验栏目的比较研究与实践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戴克华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数字时代下高中化学数字化实验的实践研究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冯姗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错题本在提升高三化学教学有效性中的应用研究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上虞区崧厦中学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方宵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基于教育云平台的高中化学网络课程开发与实践研究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诸暨市浬浦中学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赵莲丹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思维导图在有机化学课堂中的运用研究与实践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吕欣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将PBL教学模式融入素养为本的高中化学教学研究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吴宇峰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高中化学探究性课中的生活化实验研究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绍兴市稽山中学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朱红燕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高中化学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基于核心素养的高三化学复习模式探究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张丽娟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聚焦学生活动的反向设计在生物课堂教学中的应用研究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尹林洁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单元整体教学中问题驱动式情境教学策略的应用研究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陈龙珠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基于核心素养的高中生物学试题命制研究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诸暨市教育研究中心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以史为鉴：生物课堂中科学思维培养的实践研究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新昌县鼓山中学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牟莎莎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基于生物学核心素养的新教材深度学习</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马兆英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高中生物学模型的建构方法及其有效性探究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邵天宁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基于大概念的单元整体情景教学在高中生物新教材教学中的应用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陶佳卉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基于真实情境创设的生物学概念教学研究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基于核心素养的高中生物校本作业编制实践与研究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高中生物</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优化高中生物STEM教学实践研究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王梦姣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历史统编必修教材中辅助材料运用策略的研究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钱洪潮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史料、趣味、实用“三位一体”高中历史课堂教学模式新探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柯桥区越崎中学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柴秀萍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基于核心素养的史料阅读在历史教学中的转化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刘金鹏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基于“倒转式”学习的历史大概念学习的路径研究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诸暨中学暨阳分校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袁建钦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博物馆资源在中学历史教学中的应用研究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诸暨市海亮实验中学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吴森兵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基于选考的浙江农村中学历史教学研究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诸暨市草塔中学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华农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SJG21099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高中历史教学中运用历史典故进行史料阅读的研究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明锋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部编高中历史教科书辅栏内容的有效运用策略研究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新昌县澄潭中学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思维导图在高中历史新教材教学中的实践探索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王忻薇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高中历史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图像史料的运用与培养高中生历史解释素养探究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绍兴市阳明中学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叶菁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教材“活动”与“问题研究”的教学实践探索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柯桥区鲁迅中学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李佳媛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新选考背景下地理课堂教学方向与策略的改进研究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柯桥区鉴湖中学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  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基于“立德树人”的高中地理课堂教学实践研究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蒋亚琴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信息技术与高中地理课堂深度融合的实践探索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钟  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地理实验在高一地理课堂教学中的应用研究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诸暨市草塔中学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金晓东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地质地貌实践力提升的教学策略研究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诸暨市海亮实验中学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赵洪伟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“希沃”互动地理课堂的实践研究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嵊州市长乐中学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钱利英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地理过程类问题的选考复习策略研究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张明强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深度学习视域下高中地理新教材的重构</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绍兴市稽山中学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石海良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高中地理</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基于信息技术的地理实践力培育的案例研究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应水祥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基于创新设计素养的通用选修课程群的实践与研究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绍兴市阳明中学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向勇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基于过程培养的项目化校本课程开发研究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绍兴市稽山中学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有机渗透中国文化的普通高中技术课程实施体系研究与实践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浙江省柯桥中学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陆能超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基于项目学习的高中通用技术“技术意识”显性化培养策略研究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浙江省春晖中学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吕凤英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指向核心素养的学业水平考试命题技术的研究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诸暨市教育研究中心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以学生实践为课堂主体改善电子控制教学的研究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诸暨市学勉中学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“面包板”材料在通用技术学科教学中的应用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诸暨市湄池中学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新教材背景下高中通用技术体验类任务实施策略研究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嵊州市高级中学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赵秋芳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通用技术活动案例选取对提高技术意识的影响研究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嵊州中学 </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姚维红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高中通用技术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基于物化能力培养的学习情境设计</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嵊州市三界中学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吴夏燕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深度学习视域下语文有效作业设计改进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柯桥区华舍中学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王彩蝶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群文阅读在初中文言文教学中的实践与研究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柯桥区鲁迅外国语学校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赵丹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利用作业本促进语文教学的研究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柯桥区湖塘中学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肖明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课程思政理念在初中古诗文教学中的运用研究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孟国乔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初中学生古诗文项目化学习路径设计的实践研究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上虞区曹娥街道中塘学校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汤利英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“单元模块教学法”的实践研究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浙江华维外国语学校（初中）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李春苗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立德树人视域下语文课程思政教学的实践与研究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上虞区城北实验中学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彭治萍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深度学习视域下初中名著项目学习的实践研究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诸暨市大唐街道草塔初中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徐文凯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指向深度学习的七年级有效语文作业设计的探索与实践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诸暨市店口镇明诚初中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傅王琼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促进学生深度学习的现代诗歌教学模式的实践研究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诸暨市大唐街道大唐初中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 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学习素养视域下初中语文项目化学习的实践研究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诸暨市教育研究中心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方桂琴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“1+X”模式下促进语文阅读有效性的策略研究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朱巧铃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“1+X”模式下单元整体教学实践研究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嵊州市爱德初级中学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李水君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部编教材新课改背景下“微写作”教学策略研究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嵊州市剡城中学教育集团城关校区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郭雪儿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基于群文阅读理念下的初中语文课堂教学的实践和研究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新昌县七星中学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潘能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初中统编教材新诗教学研究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新昌县教体局教研室</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俞赛琼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 天姥文化与七年级语文教学深度融合研究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新昌县潜溪中学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陈泾霞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基于问题导向的高效阅读教学策略研究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绍兴市昌安实验学校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王莉萍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基于项目化学习的“活动·探究”单元教学研究与实践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绍兴市第一初级中学教育集团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蒋 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因地制宜，利用拓展课平台开展语文“场景主题教学”策略初探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绍兴市长城中学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庄育菁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初中数学项目化学习设计与实施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沈志勇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基于初中数学教材的拓展课程群开发改进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柯桥区鲁迅外国语学校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裘建龙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技术融合、有效切入，数学课堂实施精准教学的实践研究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柯桥区马鞍中学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章国金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对初中数学“失衡”学生转化的策略研究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上虞区丰惠镇中学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李银红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编程类例习题在初中数学中的开发实践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浙江华维外国语学校（初中）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朱芳芳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初中数学教学中渗透数学文化的实践与探索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赵立新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基于科大讯飞“智慧课堂”实施精准教学的实践与研究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上虞区道墟街道中学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阮建锋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提升初中学生“数学翻译”能力的行动研究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上虞区沥海街道中学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毛志兵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利用微课提高数学课堂教学效率的研究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诸暨市大唐街道大唐初中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 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基于核心素养目标下的创造性使用初中数学教材的策略研究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诸暨市浣东初级中学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金保明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对学生通过知识点的提炼来提高解题能力的策略研究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诸暨市赵家镇中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陈伟莎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“初中数学新视野”课程的开发与实践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嵊州市剡城中学教育集团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杜良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构建“深度”学习――核心素养下的网格问题设计探究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嵊州市浦口中学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以“尺规作图”深化“借形辅数”的实践探究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新昌县西郊中学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周雯雯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初中数学“编题”教学实践探究实施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新昌县沃西中学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吕兰兰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平板教学在初中数学“35+10课堂模式”中的效能优化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新昌县拔茅中学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朱晨霞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基于初中数学试卷讲评课现状的解决策略研究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绍兴市第一初级中学教育集团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朱景华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深度学习下数学课堂提问技巧的探索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越城区富盛镇中学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王建木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基于智慧教学，“五节点”高效数学教学模式的探究与实践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绍兴市第一初级中学教育集团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指向学生高阶思维发展的初三数学专题复习课设计的研究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绍兴市昌安实验学校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王春丽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初中英语听说文本再设计的实践研究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柯桥区教师发展中心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王丽英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基于思维品质培养的初中英语听后活动设计与实施研究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柯桥区鲁迅外国语学校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许青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提高初中英语课堂提问有效性的研究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柯桥区柯岩中学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孙银燕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初中英语阅读教学中利用“微写作”对话文本的策略研究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柯桥区柯岩中学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安利强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基于主题意义探究的初中英语听说教学课例研究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吕静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基于文化意识养成的初中英语听说教学策略研究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初中英语阅读课堂中问题引导方式的运用研究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上虞区曹娥街道中塘学校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方双丹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基于“学习风格”之研究的初中英语教学改进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上虞区小越街道中学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宣涯梅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基于思维品质培养的初中英语听说教学有效性的实践研究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浙江华维外国语学校（初中）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陶洪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“象形”板书对提炼初中英语文本要义的实践研究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上虞区道墟街道中学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范小盛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基于英语活动观的初中英语听说课堂观察与优化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诸暨市滨江初中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卢君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以诵读提升七年级学生英语口语能力的实践研究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诸暨市滨江初中教育集团城东初中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楼玲霞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核心素养背景下初中英语“听写结合”教学探究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诸暨市次坞镇秀松中学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陈莫兰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基于英语学习活动观的初中英语听说课问题设计探析</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嵊州市剡城中学教育集团城东校区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过王洁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初中英语课堂听说训练模式的实践研究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张幼丽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农村初中英语听说课学生高阶思维缺席的解析与对策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新昌县沃西中学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王铁英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指向学用能力提升的英语结课活动的实践与研究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越城区教师发展中心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  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以口语测试为评估手段提高语言运用能力的口语教学研究与实践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绍兴市建功中学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许  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基于深度学习的英语阅读教学问题设计的课例研究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越城区袍江中学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孙蓉蓉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主题引领下的“生本”听说教学策略的课例探究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绍兴市第一初级中学教育集团（龙山校区）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周卓萍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初中科学教学中培养学生建模思维的实践研究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柯桥区鲁迅外国语学校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潘森琴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创设问题情境，优化实验探究教学的应用研究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戚兰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课堂延申到家庭视频化实验的“真探究”行动研究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张利娟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基于STEM理念的初中科学小实验开发研究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柯桥区浙光中学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初中科学课堂教学中前概念的解构与转化策略研究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上虞外国语学校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何伟权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基于STEM理念的初中科学拓展性课程开发与实践研究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罗兰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初中科学教学中学生阅读能力培养的实践研究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上虞区沥海街道中学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邵翠翠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趣味创新实验对初中科学重要性的应用研究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诸暨市浣纱初级中学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房美燕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家庭微实验激发学困生学习兴趣的实践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诸暨市璜山初级中学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陈旭霞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基于学科关键能力发展的科学试卷讲评策略</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诸暨市马剑镇中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邱亦斌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课外实验促进概念转变的实践研究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诸暨市暨阳初级中学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赵顾芸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信息技术在科学课堂教学中的利弊与优化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周黄蓉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数字化环境下的初中科学实验教学改进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嵊州市剡城中学城东校区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杨松耀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基于“可见学习”的科学实验探究教学实践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嵊州市教育体育局教研室</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林君祥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科学试题命制过程中素材获取和处理的策略</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石瑛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指向自主学习的小初科学衔接探究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新昌县西郊中学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梁根英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SJG21199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初中科学作业本体验性实验的改进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新昌县潜溪中学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潘梅霞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科学课堂教学中渗透科学方法的实践研究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越城区袍江中学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孙剑兰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模型法促进初中科学概念理解的实践与研究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绍兴市文澜中学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顾丹群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基于核心素养的科学课堂提问设计的策略研究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越城区锡麟中学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张明霞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创建初中社会课堂小组学习共同体的实践研究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柯桥区秋瑾中学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郭露璐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在道德和法治课中引导学生自主构建知识网络的策略研究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柯桥区西藏名族中学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唐妙详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基于理解的中学历史课堂问题设计探索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王素萍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初中《道德与法治》作业改进的策略研究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浙江师范大学附属上虞初级中学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应志美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初中历史教学运用项目式学习的研究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上虞区上浦镇中学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田永柠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“PDCA”视域下改良初中生历史作业习惯的行动研究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诸暨市浬浦镇中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宋其伟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新教材背景下初中历史概念教学研究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诸暨市店口镇明诚初中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王鑫伟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初中法治模块教学中情境创设的路径研究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嵊州市三界镇中学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胡徐君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关于部编版《人文地理》教材资源重组整合的研究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魏紫琼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用阅读卡丰富初中历史与社会教学的策略研究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赵波英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基于综合思维素养的主题教学实践探究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新昌县西郊中学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孙杭英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讲好英雄故事，落实立德树人——初中历史教学的方法改进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新昌县回山中学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李少波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九年级社会课堂在“问学”中助力深度学习的实践探索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绍兴市长城中学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任晓红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议题式教学在初中生政治认同素养培养中的策略探究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绍兴市昌安实验学校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俞柳英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初中法治学科深度合作学习的教学策略研究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绍兴文理学院附中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章妃英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PBL模式在初中人文地理教学中的应用策略探究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绍兴市文澜中学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严瑜瑜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核心素养视阈下农村初中学生历史学习能力培养策略研究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越城区皋埠中学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陶伟英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农村初中学生道德与法治学科实践性作业的研究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越城区成章中学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钱利明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初中道德与法治课对提高学生法治素养的教学策略研究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绍兴市第一初级中学镜湖校区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陈雨弯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初中社会法治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基于综合的历史与社会拓展性课程研究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诸暨市店口镇明诚初中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何锡钢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打造生长课堂之提高学生自主学习有效性的实践研究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柯桥区管宁实验小学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童月虹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“美丽乡村行”实践活动与习作的尝试统整的实践研究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柯桥区漓渚镇中心小学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徐仙美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部编三上语文随文小练笔实践研究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三年级语文园地之“词句段运用”板块的教学策略实践研究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上虞实验小学教育集团（实验校区）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胡杰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借助项目式课程改进三年级习作教学的探索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上虞区盖北镇中心小学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朱丹蓉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小学高段“好玩的古诗词”微课程的实践与研究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上虞区道墟街道中心小学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任蓉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基于统编教材读写融合的习作有效性的实践与探究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诸暨市明诚小学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孔垚丽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一年级学生“话说字的故事”的实践研究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诸暨市陶朱街道西湖小学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傅蓉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借“大声读”“静默抄”助力302班学生语文素养提升的微课程研究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诸暨市海亮小学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利用阅读记录单开展统编教材课外延展阅读的实践与研究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诸暨市暨阳街道浣纱小学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何秀丽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基于统编教材“快乐读书吧”的整本书导读研究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诸暨市实验小学教育集团庆同小学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丁圆伟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依托课堂写作，优化语言表达能力的实践研究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嵊州市城南小学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余科峰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破解小学低段识字难点的载体与实施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嵊州市剡山小学教育集团剡山校区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邹桂飞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构建趣味写字策略提升低年级书写能力的研究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嵊州市鹿山小学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郭莲莲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借助“项目学习”，开展“亲情主题”共读的实践与研究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嵊州市城北小学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钱月芳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项目式推进：探索统编语文教材“快乐读书吧”教学范式</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新昌县南明小学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王东明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“心理拓展游戏”在五年级学困生习作训练中的应用研究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杨杏玲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运用“非指导性”  模式进行观察性微练笔的实践研究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新昌县南岩小学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  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低段语文课堂关于传统节日文化教育的渗透性教学的尝试</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新昌县南岩小学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梁水英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小学五年级单元习作预习单设计及实施的策略研究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越城区北海小学教育集团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董霏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基于视觉笔记的小学四年级整本书阅读课程实践与研究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越城区斗门街道中心小学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葛龙玲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教材图像应用的改进策略研究——以小学一二年级部编教材为例</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越城区鲁迅小学教育集团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陈小蓉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统编教材文学性文本深度学习的探索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越城区群贤小学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梁春萍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基于阅读走向表达的小学实用文教学研究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殷春美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基于课堂观察的小学语文第一学段倾听伙伴关系研究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越城区塔山中心小学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鲁玲华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小学语文</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构建五年级学生“生态阅读”的策略研究与实践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越城区塔山中心小学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吴云香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劳动教育在小学道德与法治课程中的实践途径研究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柯桥区柯桥小学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夏冰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基于学情分析的小学道德与法治教学行动研究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上虞实验小学教育集团（实验校区）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项目化学习下的小学高段法治教育实践研究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上虞区博文小学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张玉兰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小学道德与法治“农耕劳动教育”的探索实践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上虞区东关街道樟塘小学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夏华娟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基于“真生活”的道德与法治课堂教学改进研究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上虞区崧厦街道金近小学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徐益锋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巧用教材插图上好五下《百年追梦 复兴中华》历史性单元的策略探微</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嵊州市剡溪小学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郭伶丽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小学道德与法治“课程资源”的深度整合路径与操作实施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史小玲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"绘本微故事"在小学道德与法治课堂中的应用研究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诸暨市牌头镇中心小学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许超平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道德与法治课堂前置性作业的改进</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诸暨市实验小学教育集团庆同小学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侯可伟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小学道德与法治</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基于法治素养培养的《道德与法治》拓展性课程的开发与实施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柯桥区马鞍中心小学马鞍校区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叶建丽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课程思政引领下五六年级数学单元整体备课研究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柯桥区杨汛桥中心小学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相芹芳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"人文价值"视域下小学数学拓展性微课程的开发与实施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柯桥区中国轻纺城小学（兴越路校区）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基于“结构化教学”重构小学数学课堂的实践研究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柯桥区马鞍中心小学滨海校区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杨宝钢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基于兰乡研学的小学数学拓展性课程的实践研究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柯桥区漓渚镇中心小学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一二年级学生积累数学基本活动经验的实践研究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柯桥区秋瑾小学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王春燕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小学数学教学“数学文化”渗透的策略探寻</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上虞区小越街道中心小学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罗金燕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基于教材深度开发的小学数学拓展课的实践研究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上虞区博文小学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朱晓芬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小学数学课堂中如何改进学生倾听习惯的研究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上虞区崧华学校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孙柏尧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以实践为载体培养低段学生量感的研究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上虞区沥海街道中心小学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郑素素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课程思政引领下基于“微习题”助推学生深度学习的课例实践与探究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诸暨市山下湖镇中心小学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钱佳味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小学数学第一学段“综合与实践”领域的教学实践研究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诸暨市暨阳街道暨阳小学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基于高阶思维的小学数学综合与实践活动学习单设计研究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诸暨市暨南街道暨南小学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黄天飞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20以内进位加法单元整合及拓展研究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诸暨市实验小学教育集团荷花小学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课程思政引领下思辨在小学数学单元梳理教学的课例研究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诸暨市陶朱街道三益小学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方灶娣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利用数轴，助力学生深度理解算理的研究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诸暨市枫桥镇中心学校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王海燕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小学数学整体建构理念下计量单位教学策略探寻</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嵊州市甘霖镇苍岩中心小学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优化“分数除法”算理的教学序列研究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嵊州市爱德小学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董彬蕾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借助数学小实验促进低段学生深度学习的实践研究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嵊州市鹿山小学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郑玉洁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基于符号意识培养促代数思维发展之途径研究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嵊州市剡溪小学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余锋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小学数学“你知道吗”阅读材料的整合和实践研究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全周芳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低段学生优化付钱能力缺失的归因分析和改进实践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新昌县南瑞实验学校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石越颖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小学数学 </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基于“思维导图”的小学数学逻辑思维训练研究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新昌县育英小学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关于在小学高段数学教学中培养学生逻辑思维能力的策略研究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新昌县南明小学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董洁霞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乘法分配律在六年级分数计算中的改进应用研究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新昌县七星小学 </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盛益芳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依托问题解决提高学生数学应用意识和能力的实践和研究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越城区北海小学教育集团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蔡凌燕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小学数学对话思辨的“学导课堂”教学策略研究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越城区蕺山小学教育集团 </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汪国祥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微技术与六年级总复习教学有效融合的实践探究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越城区鲁迅小学教育集团（和畅堂）</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冯木兰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分数应用题版块进行单元整体备课的实践探究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越城区元培小学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赵国明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“隐性思政”理念下三年级数学单元整体教学改进的实践研究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越城区塔山中心小学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王越娟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小学数学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一年级数学单元整合促进思维拓展的实践研究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越城区蕺山小学教育集团（成章小学）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傅国娣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基于SOLO理论提升小学高段学生英语写作能力的实践研究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韩虹虹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基于表现性评价优化小学生英语作业的研究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柯桥区漓渚镇中心小学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毛春春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聚焦思维品质，提升小学高段词汇教学有效性的研究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柯桥区中国轻纺城小学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孙桂芳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以读促写提高农村小学高段英语课堂教学效率的实践研究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上虞区王充小学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金少威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基于主题意义的单元整体教学的思考与实践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上虞区东关街道中心小学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沈招娣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基于话题的小学英语词汇教学的实践研究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上虞区教师发展中心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应天栋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指向高阶思维品质培养的小学英语不同课型教学策略研究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诸暨市海亮小学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陈旦丹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以“藤蔓式问题”设计提升语篇教学质量的研究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诸暨市店口镇文裔小学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崔蕾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小学低段英语单元主题情境的拓展与实践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卜科学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戏剧教学融入小学英语课堂的思考与探究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嵊州市鹿山小学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金炳芳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SJG21299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基于单元整体的Start to read板块教学设计与课堂实践的研究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越城区教师发展中心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  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在小学高段故事类语篇教学中开展发散性思维训练的实践与研究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越城区鲁迅小学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张韦华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基于PEP新教材的小学英语课堂教学内容衔接有效性的实践与探索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越城区塔山中心小学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蒋春燕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小学英语</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基于学生细心品质培养的有效英语家作的实践研究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新昌县鼓山小学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张圆圆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基于“最近发展区”学生原创科普剧实践研究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柯桥区中国轻纺城第二小学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袁央清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新课标引领下的小学科学家庭资源的开发与利用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柯桥区齐贤中心小学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濮丽丽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小学低年级科学评价表现性任务设计与应用的研究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柯桥区浙光小学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小学科学教学中有效落实长周期实践观察活动的策略研究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上虞区实验小学教育集团（上德校区）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章兴波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小学科学问题驱动式教学法在“互联网+同步课堂”中的实践研究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上虞实验小学教育集团（实验校区）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基于探究式的小学高段科学观察笔记的实践研究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上虞区百官重华小学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王伟军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小学科学课堂实施精准教学的课例研究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诸暨市教育研究中心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祝海丽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大概念视角下小学科学单元起始课教学策略研究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诸暨市荣怀小学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赵伟秀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小学科学提高实验教学有效性策略的研究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诸暨市陶朱街道西湖小学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楼晓蓝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小学科学中草药拓展课程的开发与实施</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嵊州市爱德小学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以“故事课堂”提升学生科学探究力的实践研究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嵊州市鹿山小学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黄骏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小学科学教学中观察实践设计的探索与研究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新昌县南瑞实验学校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朱超女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基于核心素养下的小学科学课堂探究活动有效性的研究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越城区马山街道中心小学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袁文姣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应用生活化教学提升小学生科学核心素养的策略研究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绍兴越城区斗门街道中心小学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吴张荣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小学科学</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利用思维导图优化高年级单元整理教学的实践尝试</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越城区元培小学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胡梦瑶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在初中《算法与程序设计》中创设有效教学情境的研究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柯桥区兰亭中学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利用AR CODE实体编程进行低段学生人工智能启蒙的教学探索与研究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寿姝燕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高中信息技术过程评价系统的开发与应用研究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浙江省春晖中学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黄富勇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基于计算思维的小学信息技术PBL教学模式实践研究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上虞区丰惠镇中心小学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成春佳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基于信息技术核心素养的校本课程开发与实践的研究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诸暨湄池中学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蔡铸尔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初中信息技术利用PBL模式提升数字化学习和创新能力的实践研究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诸暨浣江初中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刘菲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探究性教学在高中信息技术课堂中的运用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钱丹红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初中阶段开展Python语言有效教学的实践研究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应迎春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基于学生核心素养培养的高中信息技术项目式教学设计案例研究与应用</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浙江省新昌中学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吴慧丽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基于核心素养的高中信息技术高效教学模式构建研究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新昌县知新中学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赵璐朦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高中信息技术浙教版新教材Python课堂教学策略研究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绍兴市第一中学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余栋材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游戏化学习提高学生编程素养的实践研究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绍兴市塔山中心小学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丁宝祥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算法思维引领初中信息技术各模块教学的探索和实践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绍兴市文澜中学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杨艳颜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项目式学习法在“数据处理”流程中的实施探析</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绍兴市元培中学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赵鉴岚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中小学信息技术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融入创客理念提升初中信息技术课堂学生参与的策略研究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越城区马山中学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陶剑波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儿童压花拓展性课程的初探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柯桥区柯桥小学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马琪婕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“名家名作”在小学美术教学中的运用探索与实践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上虞区实验小学教育集团（上德校区）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吕银萍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小学生水墨画临摹教学改进与实施策略的实践研究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上虞区鹤琴小学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俞镇沸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小学美术泥塑课程的开发和实践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上虞区滨江小学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沈连萍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七彩衍纸助力农村儿童的美育想像力之探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诸暨市山下湖镇中心小学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陈彩君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小学美术“泥彩越韵”拓展课程建设的实践研究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嵊州市剡溪小学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楼丽萍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小学中段区域性越地美术课程的资源开发和策略研究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越城区北海小学教学集团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娄东群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木刻版画融入八年级动漫课堂教学的探索与实践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绍兴市元培中学分部</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董莉莉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初中美术课堂开展环保教育的教学探索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新昌县西郊中学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季  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禅绕画教学改进的实践与探究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新昌县实验中学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章晶晶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高中学生情绪化绘画语言现状及矫正研究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柯桥区越崎中学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杨成英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中小学美术</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基于“创意实践”素养的“地方文创”课程研究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诸暨市学勉中学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钱科萍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构建聆听器乐作品的多声部思维模式的研究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绍兴市昌安实验学校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郑  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小学低段进行多觉联动音乐教学的研究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钱雨欣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农村学校合唱团视唱练耳训练的实践和研究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越城区陶堰镇中心小学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潘海萍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浅谈基于“范式转换”的小学音乐课堂教学深度学习的策略研究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柯桥区马鞍中心小学滨海校区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王叶军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初中音乐课堂二声部教学前期基础训练的开发</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柯桥区齐贤中学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  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小学音乐合唱教学的实践与研究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柯桥区齐贤中心小学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马春兰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基于“微视频”开发深化“越乡鼓韵”课程建设的实践研究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上虞区小越街道中心小学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陈莉芳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巧用微课，打造小学音乐高效课堂的实践研究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上虞区谢塘镇中心小学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罗叶文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《上虞“博文十景”乡贤之歌》校本课程的开发与研究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上虞区博文小学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罗  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音乐游戏在小学乐理教学中的运用研究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诸暨市山下湖镇中心小学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斯丹燕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在课堂教学与课后延伸性实践中探究小学高段生音乐编创能力的培养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诸暨市实验小学教育集团荷花小学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刘明明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初中音乐课堂中有效体态律动的探究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诸暨市浣纱中学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  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小学一年级歌词识记的有效方法之初探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嵊州市城北小学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应丽桦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合唱坊之趣味“视唱练耳”实践研究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嵊州市剡山小学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周小君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SJG21359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中小学音乐</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小学陶笛拓展型课程的开发运用与研究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新昌县青年路小学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穆铁兵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以健康运动提高小学生体质测试成绩的策略研究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柯桥区鉴湖小学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李炜炜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巧设室内体育课：预防与纠正小学低年段学生驼背的实践研究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柯桥区中国轻纺城小学（裕民路校区）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高中生立定跳远成绩有效提升策略</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柯桥区豫才中学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张根兰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基于学生体质健康的体育微课程的开发与研究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上虞区鹤琴小学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吴冠军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小学低段学生投掷能力提升实施策略的实践研究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上虞实验小学教育集团（实验校区）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孙丹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三维度视角下，小学阶段《趣味足球》校本课程开发与实施研究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上虞区东关街道樟塘小学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娄金刚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自编瑜伽操对提高小学生身体柔韧性的实践研究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诸暨市实验小学教育集团庆同小学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金仙仙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趣味田径运动引入小学体育课堂的实践研究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诸暨市行知小学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何天甲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提高中学生体质健康水平的方法贞对策</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诸暨市学勉中学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郭玉婷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基于校园文化特色的啦啦操社团建设行动研究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嵊州市莲塘小学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史铭丽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初中体育与健康“运技组合”教学法的实践与探索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新昌县城关中学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戈巧丽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spacing w:val="-20"/>
                <w:kern w:val="0"/>
                <w:szCs w:val="21"/>
                <w:lang w:val="en-US" w:eastAsia="zh-CN"/>
              </w:rPr>
              <w:t>“学、练、赛、评”一体化视角下提高小学大课间实效性的探索与实践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越城区群英小学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何菊萍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提升小学低年级学生跳绳能力教学策略研究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谢晶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中小学体育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一体化视角下的小学排球技能等级评价标准实践研究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越城区教师发展中心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杜洄亮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班主任进行高中生危机识别与干预的实践研究 </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诸暨市湄池中学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杨妮娜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以积极心理学助力家长成长工作坊的行动研究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诸暨市大唐街道柱山小学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 侯松燕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二孩政策下对大孩不良心理调适的个案研究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诸暨市浣东街道城新小学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顾春芳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运用认知疗法对小学高段学生一般性情绪障碍进行转化的实践研究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嵊州市双塔小学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基于医教结合模式推进校园心理安全与服务的实践探索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嵊州市马寅初中学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周惠芳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SJG21379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生命教育课程对初中生心理资本的影响研究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绍兴市元培中学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周巧英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表达性艺术治疗在疫后初中生生命教育中的校本化实践研究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绍兴市昌安实验学校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许佳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后疫情时代小学生命教育的策略研究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绍兴市少儿艺术学校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叶佳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对C校单亲儿童的个案介入研究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柯桥区湖塘中心小学型塘校区</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吴颖颖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心理健康</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叙事疗法：聋校故事阅读教学中的实践与探索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绍兴市聋哑学校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冯轶君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基于家园合力矫治感统失调幼儿的个案研究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柯桥区华舍有春幼儿园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 xml:space="preserve"> 梁君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幼儿传统节日教育中“文化缺失”现象的改进策略研究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柯桥区漓渚镇中心幼儿园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任亚萍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角色游戏中幼儿教师观察记录现状及支持策略研究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柯桥区中心幼儿园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邱军仙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基于“5+X”模式幼儿叙事性讲述教学活动组织和推进策略的实践研究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上虞区曹娥街道中心幼儿园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景瑛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幼儿园小农场自然教育元素的挖掘与利用的策略研究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上虞区爱弥儿幼儿园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徐雅雅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SJG21389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利用绘画日记促进大班幼儿讲述能力发展的实践研究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上虞区鹤琴幼儿园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徐莉莉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基于“谈话”核心经验提升幼儿“计划”水平的实践研究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诸暨市暨阳街道暨北幼儿园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方蓬莱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借助乐高帮助大班幼儿理解“数与量”实践研究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嵊州市五爱幼教集团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吴锎卿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以“小主播”游戏形式提升幼儿口语叙事能力的实践研究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新昌幼教集团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何诗雨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巧用游戏分享优化大班幼儿的户外自主游戏</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新昌幼教集团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吴青青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用心与智慧追随儿童——班本化课程有效建构的探索与实践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越城区东浦街道中心幼儿园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李佳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以幼儿行为背后“生长点”为资源创生班本主题课程的实践研究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越城区皋埠街道中心幼儿园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王秋英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幼儿教育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大三班“数学语言”能力的改进研究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诸暨市浣纱幼教集团浣纱幼儿园</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汤丹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利用“葫芦园”开发校园劳动基础课程的实践研究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柯桥区管宁实验小学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戚越峰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基于学校劳动教育特色项目的学生创造性劳动能力培养的实践与研究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柯桥区杨汛桥中心小学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金君晖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SJG21399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依托共享体验园，创新小学综合实践活动互动展示评价模式的研究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上虞区崧厦街道中心小学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余静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基于项目学习的校内劳动实践研究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上虞区沥海街道中心小学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倪建东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利用校内劳动教育基地提高学生核心素养的教育模式初探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诸暨市赵家镇初级中学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蔡敏华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综合实践活动成果展示课的指导策略研究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诸暨市陶朱街道明德小学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陈爱妮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与生活对接：综合实践活动主题的生成与实践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诸暨市店口镇弘毅小学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校园维修服务中培养校园“小工匠”的探索和实践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嵊州市城南小学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蔡博顺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传统手工劳动技术的传承与创新研究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新昌县西郊中学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沈杭天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小学劳动课“项目式”教学的实践与研究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越城区北海小学教育集团</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沈宏炎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基于“研学+劳动”的“犭央犭茶湖渔猎文化”课程的研究与实践</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越城区灵芝街道中心小学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赵建英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综合实践</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利用家长资源助推小学研学旅行课程的有效实施的实践与研究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越城区皋埠镇中心小学</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张晓芳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特殊教育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自闭症儿童社交障碍矫正的研究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新昌县育才学校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王楠楠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特殊教育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低段中度智力障碍儿童心理能力训练的个案研究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新昌县育才学校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张佳媚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特殊教育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磁力片对聋校中学段学生构建立体图形模型的探究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绍兴市聋哑学校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蒋天华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特殊教育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“安静书”在培智学校生活语文教学中的支持</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越城区育才学校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高娅娣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中职语文核心素养视域下活动课模式在古诗词教学中的尝试与探索</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绍兴市技工学校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劳鸿燕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SJG21414</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基于核心素养的中职语文古典诗专题教学——以《语文》（基础模块）上册（第四版）为例</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上虞区职业教育中心（上虞区技工学校）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夏镕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新课标视域下中职语文教学培养职业关键能力的路径研究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上虞区教育体育局职成科</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朱维娟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2020语文课标下的中职语文校本教材《诸暨非遗的前世今生》的开发</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诸暨市职业教育中心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SJG21417</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基于提升中职学生自我效能感的有效英语课堂构建—以绍兴市职教中心为例</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绍兴市职业教育中心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任黎琰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在碎片化学习时代，思维可视化教学策略与中职英语教学有效整合的应用研究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绍兴财经旅游学校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陈冬娟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基于中职学生体质健康发展学生体能素质的实践与研究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上虞区职业中专</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赵星富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“护体融合”落地体育与健康课程标准</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绍兴护士学校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寿菲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“三网”合力构建高职考计算机专业理论复习课E模式的实践与研究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柯桥区职教中心</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施丽萍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SJG21422</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利用心理团体辅导提高中职生疫情复学后自我控制能力的干预研究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绍兴市中等专业学校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吴青清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Geogebra软件在中职数学“立体几何”教学中的实践研究</w:t>
            </w:r>
          </w:p>
        </w:tc>
        <w:tc>
          <w:tcPr>
            <w:tcW w:w="33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绍兴市中等专业学校</w:t>
            </w:r>
          </w:p>
        </w:tc>
        <w:tc>
          <w:tcPr>
            <w:tcW w:w="0" w:type="auto"/>
            <w:tcBorders>
              <w:top w:val="single" w:color="auto" w:sz="4" w:space="0"/>
              <w:left w:val="single" w:color="auto" w:sz="4" w:space="0"/>
              <w:bottom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汤梅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 w:hRule="atLeast"/>
        </w:trPr>
        <w:tc>
          <w:tcPr>
            <w:tcW w:w="0" w:type="auto"/>
            <w:tcBorders>
              <w:top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SJG21424</w:t>
            </w:r>
          </w:p>
        </w:tc>
        <w:tc>
          <w:tcPr>
            <w:tcW w:w="0" w:type="auto"/>
            <w:tcBorders>
              <w:top w:val="single" w:color="auto" w:sz="4" w:space="0"/>
              <w:left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职业教育</w:t>
            </w:r>
          </w:p>
        </w:tc>
        <w:tc>
          <w:tcPr>
            <w:tcW w:w="6592" w:type="dxa"/>
            <w:tcBorders>
              <w:top w:val="single" w:color="auto" w:sz="4" w:space="0"/>
              <w:left w:val="single" w:color="auto" w:sz="4" w:space="0"/>
              <w:right w:val="single" w:color="auto" w:sz="4" w:space="0"/>
            </w:tcBorders>
            <w:vAlign w:val="center"/>
          </w:tcPr>
          <w:p>
            <w:pPr>
              <w:widowControl/>
              <w:adjustRightInd w:val="0"/>
              <w:snapToGrid w:val="0"/>
              <w:rPr>
                <w:rFonts w:hint="eastAsia"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“跨学科”融合视野下语文网络同步课程建设的实践研究——以《“语”“筑”匠心》文专融合课程建设为例</w:t>
            </w:r>
          </w:p>
        </w:tc>
        <w:tc>
          <w:tcPr>
            <w:tcW w:w="3312" w:type="dxa"/>
            <w:tcBorders>
              <w:top w:val="single" w:color="auto" w:sz="4" w:space="0"/>
              <w:left w:val="single" w:color="auto" w:sz="4" w:space="0"/>
              <w:righ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柯桥区职教中心</w:t>
            </w:r>
          </w:p>
        </w:tc>
        <w:tc>
          <w:tcPr>
            <w:tcW w:w="0" w:type="auto"/>
            <w:tcBorders>
              <w:top w:val="single" w:color="auto" w:sz="4" w:space="0"/>
              <w:left w:val="single" w:color="auto" w:sz="4" w:space="0"/>
            </w:tcBorders>
            <w:vAlign w:val="center"/>
          </w:tcPr>
          <w:p>
            <w:pPr>
              <w:widowControl/>
              <w:adjustRightInd w:val="0"/>
              <w:snapToGrid w:val="0"/>
              <w:rPr>
                <w:rFonts w:hint="default" w:ascii="Times New Roman" w:hAnsi="Times New Roman" w:eastAsia="楷体" w:cs="Times New Roman"/>
                <w:color w:val="000000"/>
                <w:kern w:val="0"/>
                <w:szCs w:val="21"/>
                <w:lang w:val="en-US" w:eastAsia="zh-CN"/>
              </w:rPr>
            </w:pPr>
            <w:r>
              <w:rPr>
                <w:rFonts w:hint="eastAsia" w:ascii="Times New Roman" w:hAnsi="Times New Roman" w:eastAsia="楷体" w:cs="Times New Roman"/>
                <w:color w:val="000000"/>
                <w:kern w:val="0"/>
                <w:szCs w:val="21"/>
                <w:lang w:val="en-US" w:eastAsia="zh-CN"/>
              </w:rPr>
              <w:t>冯志刚</w:t>
            </w:r>
          </w:p>
        </w:tc>
      </w:tr>
    </w:tbl>
    <w:p>
      <w:pPr>
        <w:keepNext w:val="0"/>
        <w:keepLines w:val="0"/>
        <w:pageBreakBefore w:val="0"/>
        <w:widowControl w:val="0"/>
        <w:kinsoku/>
        <w:wordWrap/>
        <w:overflowPunct/>
        <w:topLinePunct w:val="0"/>
        <w:autoSpaceDE/>
        <w:autoSpaceDN/>
        <w:bidi w:val="0"/>
        <w:adjustRightInd/>
        <w:snapToGrid/>
        <w:spacing w:line="100" w:lineRule="exact"/>
        <w:textAlignment w:val="auto"/>
        <w:rPr>
          <w:rFonts w:ascii="仿宋_GB2312" w:hAnsi="微软雅黑" w:eastAsia="仿宋_GB2312" w:cs="宋体"/>
          <w:color w:val="333333"/>
          <w:kern w:val="0"/>
          <w:sz w:val="24"/>
          <w:szCs w:val="24"/>
        </w:rPr>
      </w:pP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ascii="仿宋_GB2312" w:hAnsi="微软雅黑" w:eastAsia="仿宋_GB2312" w:cs="宋体"/>
          <w:color w:val="333333"/>
          <w:kern w:val="0"/>
          <w:sz w:val="24"/>
          <w:szCs w:val="24"/>
        </w:rPr>
      </w:pPr>
      <w:bookmarkStart w:id="0" w:name="_GoBack"/>
    </w:p>
    <w:bookmarkEnd w:id="0"/>
    <w:sectPr>
      <w:pgSz w:w="16838" w:h="11906" w:orient="landscape"/>
      <w:pgMar w:top="1701" w:right="1134" w:bottom="1134"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0324B"/>
    <w:rsid w:val="2B10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2020-11-30T09:29:00Z</dcterms:created>
  <dc:creator>孟迎春</dc:creator>
  <cp:lastModifiedBy>孟迎春</cp:lastModifiedBy>
  <dcterms:modified xsi:type="dcterms:W3CDTF">2020-11-30T09:29:35Z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